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1620" w:leader="none"/>
        </w:tabs>
        <w:ind w:hanging="0" w:right="176"/>
        <w:rPr>
          <w:b/>
          <w:sz w:val="25"/>
          <w:szCs w:val="25"/>
        </w:rPr>
      </w:pPr>
      <w:r>
        <w:rPr>
          <w:b/>
          <w:sz w:val="25"/>
          <w:szCs w:val="25"/>
        </w:rPr>
        <w:t>РОССИЙСКАЯ                                                                                          ИРКУТСКАЯ      ФЕДЕРАЦИЯ                                                                                                    ОБЛАСТЬ</w:t>
      </w:r>
    </w:p>
    <w:p>
      <w:pPr>
        <w:pStyle w:val="Normal"/>
        <w:tabs>
          <w:tab w:val="clear" w:pos="720"/>
          <w:tab w:val="left" w:pos="1620" w:leader="none"/>
        </w:tabs>
        <w:jc w:val="center"/>
        <w:rPr>
          <w:b/>
          <w:sz w:val="25"/>
          <w:szCs w:val="25"/>
        </w:rPr>
      </w:pPr>
      <w:r>
        <w:rPr>
          <w:b/>
          <w:sz w:val="25"/>
          <w:szCs w:val="25"/>
        </w:rPr>
      </w:r>
    </w:p>
    <w:p>
      <w:pPr>
        <w:pStyle w:val="Normal"/>
        <w:tabs>
          <w:tab w:val="clear" w:pos="720"/>
          <w:tab w:val="left" w:pos="1620" w:leader="none"/>
        </w:tabs>
        <w:jc w:val="center"/>
        <w:rPr>
          <w:b/>
          <w:sz w:val="25"/>
          <w:szCs w:val="25"/>
        </w:rPr>
      </w:pPr>
      <w:r>
        <w:rPr>
          <w:b/>
          <w:sz w:val="25"/>
          <w:szCs w:val="25"/>
        </w:rPr>
        <w:t>КОНТРОЛЬНО-СЧЕТНАЯ ПАЛАТА</w:t>
      </w:r>
    </w:p>
    <w:p>
      <w:pPr>
        <w:pStyle w:val="Normal"/>
        <w:tabs>
          <w:tab w:val="clear" w:pos="720"/>
          <w:tab w:val="left" w:pos="1620" w:leader="none"/>
        </w:tabs>
        <w:jc w:val="center"/>
        <w:rPr>
          <w:b/>
          <w:sz w:val="25"/>
          <w:szCs w:val="25"/>
        </w:rPr>
      </w:pPr>
      <w:r>
        <w:rPr>
          <w:b/>
          <w:sz w:val="25"/>
          <w:szCs w:val="25"/>
        </w:rPr>
        <w:t>МО «ТУЛУНСКИЙ РАЙОН»</w:t>
      </w:r>
    </w:p>
    <w:p>
      <w:pPr>
        <w:pStyle w:val="Normal"/>
        <w:tabs>
          <w:tab w:val="clear" w:pos="720"/>
          <w:tab w:val="left" w:pos="1620" w:leader="none"/>
        </w:tabs>
        <w:jc w:val="center"/>
        <w:rPr>
          <w:b/>
          <w:sz w:val="25"/>
          <w:szCs w:val="25"/>
        </w:rPr>
      </w:pPr>
      <w:r>
        <w:rPr>
          <w:b/>
          <w:sz w:val="25"/>
          <w:szCs w:val="25"/>
        </w:rPr>
      </w:r>
    </w:p>
    <w:p>
      <w:pPr>
        <w:pStyle w:val="Normal"/>
        <w:tabs>
          <w:tab w:val="clear" w:pos="720"/>
          <w:tab w:val="left" w:pos="1620" w:leader="none"/>
        </w:tabs>
        <w:jc w:val="center"/>
        <w:rPr/>
      </w:pPr>
      <w:r>
        <w:rPr>
          <w:b/>
          <w:sz w:val="25"/>
          <w:szCs w:val="25"/>
        </w:rPr>
        <w:t>ЗАКЛЮЧЕНИЕ №5</w:t>
      </w:r>
      <w:r>
        <w:rPr>
          <w:b/>
          <w:sz w:val="25"/>
          <w:szCs w:val="25"/>
        </w:rPr>
        <w:t>8</w:t>
      </w:r>
      <w:r>
        <w:rPr>
          <w:b/>
          <w:sz w:val="25"/>
          <w:szCs w:val="25"/>
        </w:rPr>
        <w:t>/2</w:t>
      </w:r>
      <w:r>
        <w:rPr>
          <w:b/>
          <w:sz w:val="25"/>
          <w:szCs w:val="25"/>
        </w:rPr>
        <w:t>7</w:t>
      </w:r>
      <w:r>
        <w:rPr>
          <w:b/>
          <w:sz w:val="25"/>
          <w:szCs w:val="25"/>
        </w:rPr>
        <w:t>-з</w:t>
      </w:r>
    </w:p>
    <w:p>
      <w:pPr>
        <w:pStyle w:val="Normal"/>
        <w:tabs>
          <w:tab w:val="clear" w:pos="720"/>
          <w:tab w:val="left" w:pos="1620" w:leader="none"/>
        </w:tabs>
        <w:jc w:val="center"/>
        <w:rPr>
          <w:b/>
          <w:sz w:val="25"/>
          <w:szCs w:val="25"/>
        </w:rPr>
      </w:pPr>
      <w:r>
        <w:rPr>
          <w:b/>
          <w:sz w:val="25"/>
          <w:szCs w:val="25"/>
        </w:rPr>
        <w:t>о результатах экспертно-аналитического мероприятия по результатам внешней проверки годового отчета об исполнении бюджета Тулунского муниципального района за 2025 год</w:t>
      </w:r>
    </w:p>
    <w:p>
      <w:pPr>
        <w:pStyle w:val="Normal"/>
        <w:tabs>
          <w:tab w:val="clear" w:pos="720"/>
          <w:tab w:val="left" w:pos="1620" w:leader="none"/>
        </w:tabs>
        <w:jc w:val="center"/>
        <w:rPr>
          <w:b/>
          <w:sz w:val="25"/>
          <w:szCs w:val="25"/>
        </w:rPr>
      </w:pPr>
      <w:r>
        <w:rPr>
          <w:b/>
          <w:sz w:val="25"/>
          <w:szCs w:val="25"/>
        </w:rPr>
      </w:r>
    </w:p>
    <w:p>
      <w:pPr>
        <w:pStyle w:val="Normal"/>
        <w:tabs>
          <w:tab w:val="clear" w:pos="720"/>
          <w:tab w:val="left" w:pos="1620" w:leader="none"/>
        </w:tabs>
        <w:ind w:hanging="0" w:right="176"/>
        <w:rPr/>
      </w:pPr>
      <w:r>
        <w:rPr>
          <w:b/>
          <w:sz w:val="25"/>
          <w:szCs w:val="25"/>
        </w:rPr>
        <w:t>01 - 28 апреля 2026г.                                                                                                 г. Тулун</w:t>
      </w:r>
    </w:p>
    <w:p>
      <w:pPr>
        <w:pStyle w:val="Normal"/>
        <w:tabs>
          <w:tab w:val="clear" w:pos="720"/>
          <w:tab w:val="left" w:pos="1620" w:leader="none"/>
        </w:tabs>
        <w:rPr>
          <w:b/>
          <w:sz w:val="25"/>
          <w:szCs w:val="25"/>
        </w:rPr>
      </w:pPr>
      <w:r>
        <w:rPr>
          <w:b/>
          <w:sz w:val="25"/>
          <w:szCs w:val="25"/>
        </w:rPr>
      </w:r>
    </w:p>
    <w:p>
      <w:pPr>
        <w:pStyle w:val="Normal"/>
        <w:rPr/>
      </w:pPr>
      <w:r>
        <w:rPr>
          <w:sz w:val="25"/>
          <w:szCs w:val="25"/>
        </w:rPr>
        <w:tab/>
        <w:t xml:space="preserve">Заключение о результатах экспертно-аналитического мероприятия по результатам внешней проверки годового отчета об исполнении бюджета Тулунского муниципального района за 2025 год подготовлено председателем Контрольно-счетной палаты муниципального образования «Тулунский район» (далее — Контрольно-счетная палата МО «Тулунский район», КСП) Романчук Г.Э. в соответствии с требованиями ст.264.4 Бюджетного кодекса Российской Федерации, ст. 40  Положения о бюджетном процессе в муниципальном образовании «Тулунский район», утвержденного решением Думы Тулунского муниципального района от 24.12.2019г. №100 (с изменениями от 26.01.2021г№205; от 30.11.2021г. №289), с </w:t>
      </w:r>
      <w:r>
        <w:rPr>
          <w:sz w:val="25"/>
          <w:szCs w:val="25"/>
          <w:shd w:fill="FFFFFF" w:val="clear"/>
        </w:rPr>
        <w:t>учетом результатов внешних проверок бюджетной отчетности</w:t>
      </w:r>
      <w:r>
        <w:rPr>
          <w:sz w:val="25"/>
          <w:szCs w:val="25"/>
        </w:rPr>
        <w:t xml:space="preserve"> главных администраторов бюджетных средств бюджета Тулунского муниципального района за 2025 год (  акт №1/1-а от 23.01. - 26.01.2026г ., акт №4/2-а от 28.01. - 10.02.2026г.,  №6/3-а от 12.02. - 16.02.2026г., акт №9/4-а от 19.02 - 10.03.2026г., акт №13/5-а от 13.03 - 31.03.2026г.)</w:t>
      </w:r>
    </w:p>
    <w:p>
      <w:pPr>
        <w:pStyle w:val="Normal"/>
        <w:tabs>
          <w:tab w:val="clear" w:pos="720"/>
          <w:tab w:val="left" w:pos="709" w:leader="none"/>
          <w:tab w:val="left" w:pos="1080" w:leader="none"/>
        </w:tabs>
        <w:rPr>
          <w:sz w:val="25"/>
          <w:szCs w:val="25"/>
        </w:rPr>
      </w:pPr>
      <w:r>
        <w:rPr>
          <w:sz w:val="25"/>
          <w:szCs w:val="25"/>
        </w:rPr>
        <w:t>Настоящее заключение составлено на основании представленного годового отчета об исполнении бюджета муниципального образования «Тулунский район» за 2025 год и проекта решения Думы Тулунского муниципального района «Об исполнении бюджета Тулунского муниципального района за 2025 год».</w:t>
      </w:r>
    </w:p>
    <w:p>
      <w:pPr>
        <w:pStyle w:val="Normal"/>
        <w:tabs>
          <w:tab w:val="clear" w:pos="720"/>
          <w:tab w:val="left" w:pos="709" w:leader="none"/>
          <w:tab w:val="left" w:pos="1080" w:leader="none"/>
        </w:tabs>
        <w:ind w:hanging="0" w:right="0"/>
        <w:rPr/>
      </w:pPr>
      <w:r>
        <w:rPr>
          <w:sz w:val="25"/>
          <w:szCs w:val="25"/>
        </w:rPr>
        <w:t xml:space="preserve">   </w:t>
      </w:r>
      <w:r>
        <w:rPr>
          <w:sz w:val="25"/>
          <w:szCs w:val="25"/>
        </w:rPr>
        <w:tab/>
        <w:t xml:space="preserve">Экспертиза проводилась в соответствии с утвержденным планом деятельности Контрольно-счетной палаты МО «Тулунский район» на </w:t>
      </w:r>
      <w:r>
        <w:rPr>
          <w:sz w:val="25"/>
          <w:szCs w:val="25"/>
          <w:lang w:val="en-US"/>
        </w:rPr>
        <w:t>I</w:t>
      </w:r>
      <w:r>
        <w:rPr>
          <w:sz w:val="25"/>
          <w:szCs w:val="25"/>
        </w:rPr>
        <w:t xml:space="preserve"> полугодие 206 года, на основании поручения № 13 от 31 марта 2026г. на проведение экспертно-аналитического мероприятия «Экспертиза годового отчета за 2025 год об исполнении бюджета Тулунского муниципального района», в соответствии с Программой проведения экспертно-аналитического мероприятия.</w:t>
      </w:r>
    </w:p>
    <w:p>
      <w:pPr>
        <w:pStyle w:val="Normal"/>
        <w:tabs>
          <w:tab w:val="clear" w:pos="720"/>
          <w:tab w:val="left" w:pos="709" w:leader="none"/>
        </w:tabs>
        <w:ind w:hanging="0" w:right="176"/>
        <w:rPr/>
      </w:pPr>
      <w:r>
        <w:rPr>
          <w:sz w:val="25"/>
          <w:szCs w:val="25"/>
        </w:rPr>
        <w:t xml:space="preserve">         </w:t>
      </w:r>
      <w:r>
        <w:rPr>
          <w:rStyle w:val="FontStyle17"/>
          <w:b/>
          <w:sz w:val="25"/>
          <w:szCs w:val="25"/>
        </w:rPr>
        <w:t xml:space="preserve"> </w:t>
      </w:r>
      <w:r>
        <w:rPr>
          <w:rStyle w:val="FontStyle17"/>
          <w:b/>
          <w:sz w:val="25"/>
          <w:szCs w:val="25"/>
        </w:rPr>
        <w:t xml:space="preserve">Цель экспертно-аналитического мероприятия: </w:t>
      </w:r>
    </w:p>
    <w:p>
      <w:pPr>
        <w:pStyle w:val="Normal"/>
        <w:tabs>
          <w:tab w:val="clear" w:pos="720"/>
          <w:tab w:val="left" w:pos="709" w:leader="none"/>
        </w:tabs>
        <w:ind w:hanging="0" w:right="170"/>
        <w:rPr>
          <w:color w:val="000000"/>
          <w:sz w:val="25"/>
          <w:szCs w:val="25"/>
        </w:rPr>
      </w:pPr>
      <w:r>
        <w:rPr>
          <w:color w:val="000000"/>
          <w:sz w:val="25"/>
          <w:szCs w:val="25"/>
        </w:rPr>
        <w:t xml:space="preserve">       </w:t>
      </w:r>
      <w:r>
        <w:rPr>
          <w:color w:val="000000"/>
          <w:sz w:val="25"/>
          <w:szCs w:val="25"/>
        </w:rPr>
        <w:t>- подтверждение полноты и достоверности данных об исполнении бюджета;</w:t>
      </w:r>
    </w:p>
    <w:p>
      <w:pPr>
        <w:pStyle w:val="Normal"/>
        <w:tabs>
          <w:tab w:val="clear" w:pos="720"/>
          <w:tab w:val="left" w:pos="709" w:leader="none"/>
        </w:tabs>
        <w:ind w:hanging="0" w:right="170"/>
        <w:rPr/>
      </w:pPr>
      <w:r>
        <w:rPr>
          <w:color w:val="000000"/>
          <w:sz w:val="25"/>
          <w:szCs w:val="25"/>
        </w:rPr>
        <w:t xml:space="preserve">  </w:t>
      </w:r>
      <w:r>
        <w:rPr>
          <w:color w:val="000000"/>
          <w:sz w:val="25"/>
          <w:szCs w:val="25"/>
        </w:rPr>
        <w:t>- проверка соблюдения бюджетного законодательства при осуществлении   бюджетного  процесса;</w:t>
      </w:r>
    </w:p>
    <w:p>
      <w:pPr>
        <w:pStyle w:val="Normal"/>
        <w:tabs>
          <w:tab w:val="clear" w:pos="720"/>
          <w:tab w:val="left" w:pos="709" w:leader="none"/>
        </w:tabs>
        <w:ind w:hanging="0" w:right="170"/>
        <w:rPr/>
      </w:pPr>
      <w:r>
        <w:rPr>
          <w:color w:val="000000"/>
          <w:sz w:val="25"/>
          <w:szCs w:val="25"/>
        </w:rPr>
        <w:t xml:space="preserve">    </w:t>
      </w:r>
      <w:r>
        <w:rPr>
          <w:color w:val="000000"/>
          <w:sz w:val="25"/>
          <w:szCs w:val="25"/>
        </w:rPr>
        <w:t>- оценка уровня исполнения показателей, утвержденных решением Думы Тулунского муниципального района «О бюджете Тулунского муниципального района на 2025 год и на плановый период 2026 и 2027 годов».</w:t>
      </w:r>
    </w:p>
    <w:p>
      <w:pPr>
        <w:pStyle w:val="Normal"/>
        <w:tabs>
          <w:tab w:val="clear" w:pos="720"/>
          <w:tab w:val="left" w:pos="709" w:leader="none"/>
        </w:tabs>
        <w:ind w:hanging="0" w:left="-360" w:right="176"/>
        <w:rPr>
          <w:b/>
          <w:sz w:val="25"/>
          <w:szCs w:val="25"/>
        </w:rPr>
      </w:pPr>
      <w:r>
        <w:rPr>
          <w:b/>
          <w:sz w:val="25"/>
          <w:szCs w:val="25"/>
        </w:rPr>
        <w:t xml:space="preserve">                </w:t>
      </w:r>
      <w:r>
        <w:rPr>
          <w:b/>
          <w:sz w:val="25"/>
          <w:szCs w:val="25"/>
        </w:rPr>
        <w:t xml:space="preserve">Объект проверки: </w:t>
      </w:r>
    </w:p>
    <w:p>
      <w:pPr>
        <w:pStyle w:val="Normal"/>
        <w:tabs>
          <w:tab w:val="clear" w:pos="720"/>
          <w:tab w:val="left" w:pos="709" w:leader="none"/>
        </w:tabs>
        <w:ind w:hanging="0" w:left="-360" w:right="176"/>
        <w:rPr/>
      </w:pPr>
      <w:r>
        <w:rPr>
          <w:sz w:val="25"/>
          <w:szCs w:val="25"/>
        </w:rPr>
        <w:t xml:space="preserve">       </w:t>
      </w:r>
      <w:r>
        <w:rPr>
          <w:sz w:val="25"/>
          <w:szCs w:val="25"/>
        </w:rPr>
        <w:t xml:space="preserve">Комитет по финансам администрации </w:t>
      </w:r>
      <w:r>
        <w:rPr>
          <w:color w:val="000000"/>
          <w:sz w:val="25"/>
          <w:szCs w:val="25"/>
        </w:rPr>
        <w:t>Тулунского муниципального района</w:t>
      </w:r>
      <w:r>
        <w:rPr>
          <w:sz w:val="25"/>
          <w:szCs w:val="25"/>
        </w:rPr>
        <w:t>.</w:t>
      </w:r>
    </w:p>
    <w:p>
      <w:pPr>
        <w:pStyle w:val="Normal"/>
        <w:ind w:firstLine="540" w:right="176"/>
        <w:rPr/>
      </w:pPr>
      <w:r>
        <w:rPr>
          <w:sz w:val="25"/>
          <w:szCs w:val="25"/>
        </w:rPr>
        <w:t xml:space="preserve">  </w:t>
      </w:r>
      <w:r>
        <w:rPr>
          <w:b/>
          <w:sz w:val="25"/>
          <w:szCs w:val="25"/>
        </w:rPr>
        <w:t>Предмет экспертно-аналитического мероприятия:</w:t>
      </w:r>
    </w:p>
    <w:p>
      <w:pPr>
        <w:pStyle w:val="Normal"/>
        <w:widowControl w:val="false"/>
        <w:tabs>
          <w:tab w:val="clear" w:pos="720"/>
          <w:tab w:val="left" w:pos="0" w:leader="none"/>
        </w:tabs>
        <w:ind w:firstLine="576" w:right="176"/>
        <w:rPr/>
      </w:pPr>
      <w:r>
        <w:rPr>
          <w:sz w:val="25"/>
          <w:szCs w:val="25"/>
        </w:rPr>
        <w:t xml:space="preserve">Годовой отчет об исполнении бюджета Тулунского муниципального района за 2025 год представлен в Контрольно-счетную палату муниципального образования «Тулунский район» в соответствии с нормами п. 3 статьи 264.1 Бюджетного кодекса РФ в составе форм, предусмотренных п. 11.2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w:t>
      </w:r>
      <w:bookmarkStart w:id="0" w:name="__DdeLink__20142_2044518752"/>
      <w:r>
        <w:rPr>
          <w:sz w:val="25"/>
          <w:szCs w:val="25"/>
        </w:rPr>
        <w:t>приказом Минфина РФ от 28.12.2010г. № 191н</w:t>
      </w:r>
      <w:bookmarkEnd w:id="0"/>
      <w:r>
        <w:rPr>
          <w:sz w:val="25"/>
          <w:szCs w:val="25"/>
        </w:rPr>
        <w:t xml:space="preserve"> (далее Инструкция №191н, приказ Минфина РФ от 28.12.2010г. № 191н).</w:t>
      </w:r>
    </w:p>
    <w:p>
      <w:pPr>
        <w:pStyle w:val="Normal"/>
        <w:ind w:firstLine="540" w:right="176"/>
        <w:rPr/>
      </w:pPr>
      <w:r>
        <w:rPr>
          <w:b/>
          <w:sz w:val="25"/>
          <w:szCs w:val="25"/>
        </w:rPr>
        <w:t>Проверяемый период деятельности:</w:t>
      </w:r>
      <w:r>
        <w:rPr>
          <w:sz w:val="25"/>
          <w:szCs w:val="25"/>
        </w:rPr>
        <w:t xml:space="preserve"> 2025 год. </w:t>
      </w:r>
    </w:p>
    <w:p>
      <w:pPr>
        <w:pStyle w:val="Normal"/>
        <w:ind w:firstLine="540" w:right="176"/>
        <w:rPr>
          <w:sz w:val="25"/>
          <w:szCs w:val="25"/>
        </w:rPr>
      </w:pPr>
      <w:r>
        <w:rPr>
          <w:sz w:val="25"/>
          <w:szCs w:val="25"/>
        </w:rPr>
      </w:r>
    </w:p>
    <w:p>
      <w:pPr>
        <w:pStyle w:val="Normal"/>
        <w:tabs>
          <w:tab w:val="clear" w:pos="720"/>
          <w:tab w:val="left" w:pos="0" w:leader="none"/>
        </w:tabs>
        <w:ind w:hanging="0" w:right="176"/>
        <w:rPr/>
      </w:pPr>
      <w:r>
        <w:rPr>
          <w:sz w:val="25"/>
          <w:szCs w:val="25"/>
        </w:rPr>
        <w:t xml:space="preserve">       </w:t>
      </w:r>
      <w:r>
        <w:rPr>
          <w:sz w:val="25"/>
          <w:szCs w:val="25"/>
        </w:rPr>
        <w:t xml:space="preserve">Ответственными должностными лицами за подготовку и представление бюджетной отчетности за 2025 год являлись председатель Комитета по финансам администрации </w:t>
      </w:r>
      <w:r>
        <w:rPr>
          <w:color w:val="000000"/>
          <w:sz w:val="25"/>
          <w:szCs w:val="25"/>
        </w:rPr>
        <w:t>Тулунского муниципального района Александрова Т.В. и заведующая отделом учета и отчетности – главный бухгалтер Луцаева Ю.В.</w:t>
      </w:r>
    </w:p>
    <w:p>
      <w:pPr>
        <w:pStyle w:val="Normal"/>
        <w:tabs>
          <w:tab w:val="clear" w:pos="720"/>
          <w:tab w:val="left" w:pos="709" w:leader="none"/>
          <w:tab w:val="left" w:pos="1080" w:leader="none"/>
        </w:tabs>
        <w:ind w:firstLine="180" w:right="176"/>
        <w:rPr>
          <w:sz w:val="25"/>
          <w:szCs w:val="25"/>
        </w:rPr>
      </w:pPr>
      <w:r>
        <w:rPr>
          <w:sz w:val="25"/>
          <w:szCs w:val="25"/>
        </w:rPr>
        <w:t xml:space="preserve">   </w:t>
      </w:r>
      <w:r>
        <w:rPr>
          <w:sz w:val="25"/>
          <w:szCs w:val="25"/>
        </w:rPr>
        <w:t xml:space="preserve">В ходе проверки использованы и проанализированы нормативно-правовые акты  Российской Федерации, Иркутской области, муниципального образования  «Тулунский район» по организации бюджетного процесса и бюджетных правоотношений в Тулунском муниципальном районе.         </w:t>
      </w:r>
    </w:p>
    <w:p>
      <w:pPr>
        <w:pStyle w:val="Normal"/>
        <w:tabs>
          <w:tab w:val="clear" w:pos="720"/>
          <w:tab w:val="left" w:pos="709" w:leader="none"/>
          <w:tab w:val="left" w:pos="1080" w:leader="none"/>
        </w:tabs>
        <w:rPr>
          <w:sz w:val="25"/>
          <w:szCs w:val="25"/>
        </w:rPr>
      </w:pPr>
      <w:r>
        <w:rPr>
          <w:sz w:val="25"/>
          <w:szCs w:val="25"/>
        </w:rPr>
        <w:t xml:space="preserve">Выборочной проверке подверглись плановые расчеты показателей отдельных разделов бюджета, а также ряд финансовых, бухгалтерских, информационных и отчетных документов по организации бюджетного процесса в районе, формированию и исполнению местного бюджета. В ходе проверки проведён анализ общих характеристик бюджета района, а также полноты и достоверности данных годового отчета об исполнении бюджета за 2025 год.     </w:t>
      </w:r>
    </w:p>
    <w:p>
      <w:pPr>
        <w:pStyle w:val="Normal"/>
        <w:tabs>
          <w:tab w:val="clear" w:pos="720"/>
          <w:tab w:val="left" w:pos="709" w:leader="none"/>
          <w:tab w:val="left" w:pos="1080" w:leader="none"/>
        </w:tabs>
        <w:rPr>
          <w:sz w:val="25"/>
          <w:szCs w:val="25"/>
        </w:rPr>
      </w:pPr>
      <w:r>
        <w:rPr>
          <w:sz w:val="25"/>
          <w:szCs w:val="25"/>
        </w:rPr>
        <w:t xml:space="preserve"> </w:t>
      </w:r>
      <w:r>
        <w:rPr>
          <w:sz w:val="25"/>
          <w:szCs w:val="25"/>
        </w:rPr>
        <w:tab/>
        <w:t xml:space="preserve">          </w:t>
      </w:r>
    </w:p>
    <w:p>
      <w:pPr>
        <w:pStyle w:val="Normal"/>
        <w:tabs>
          <w:tab w:val="clear" w:pos="720"/>
          <w:tab w:val="left" w:pos="709" w:leader="none"/>
          <w:tab w:val="left" w:pos="1080" w:leader="none"/>
        </w:tabs>
        <w:jc w:val="center"/>
        <w:rPr/>
      </w:pPr>
      <w:r>
        <w:rPr>
          <w:b/>
          <w:sz w:val="25"/>
          <w:szCs w:val="25"/>
        </w:rPr>
        <w:t>1. Показатели социально-экономического развития муниципального образования «Тулунский район» по итогам 2025                                                                                                                                                                                                                                                                                                                                                                                                                                                                                                                                                                                                                                                                                                                                                                                                                                                                             года.</w:t>
      </w:r>
    </w:p>
    <w:tbl>
      <w:tblPr>
        <w:tblW w:w="9579" w:type="dxa"/>
        <w:jc w:val="left"/>
        <w:tblInd w:w="-5" w:type="dxa"/>
        <w:tblLayout w:type="fixed"/>
        <w:tblCellMar>
          <w:top w:w="55" w:type="dxa"/>
          <w:left w:w="55" w:type="dxa"/>
          <w:bottom w:w="55" w:type="dxa"/>
          <w:right w:w="55" w:type="dxa"/>
        </w:tblCellMar>
        <w:tblLook w:firstRow="1" w:noVBand="1" w:lastRow="0" w:firstColumn="1" w:lastColumn="0" w:noHBand="0" w:val="04a0"/>
      </w:tblPr>
      <w:tblGrid>
        <w:gridCol w:w="4304"/>
        <w:gridCol w:w="1254"/>
        <w:gridCol w:w="1128"/>
        <w:gridCol w:w="1478"/>
        <w:gridCol w:w="1415"/>
      </w:tblGrid>
      <w:tr>
        <w:trPr>
          <w:tblHeader w:val="true"/>
        </w:trPr>
        <w:tc>
          <w:tcPr>
            <w:tcW w:w="4304" w:type="dxa"/>
            <w:tcBorders>
              <w:top w:val="single" w:sz="4" w:space="0" w:color="000000"/>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r>
          </w:p>
          <w:p>
            <w:pPr>
              <w:pStyle w:val="Normal"/>
              <w:widowControl w:val="false"/>
              <w:tabs>
                <w:tab w:val="clear" w:pos="720"/>
                <w:tab w:val="left" w:pos="709" w:leader="none"/>
                <w:tab w:val="left" w:pos="1080" w:leader="none"/>
              </w:tabs>
              <w:jc w:val="center"/>
              <w:rPr>
                <w:sz w:val="20"/>
                <w:szCs w:val="20"/>
              </w:rPr>
            </w:pPr>
            <w:r>
              <w:rPr>
                <w:sz w:val="20"/>
                <w:szCs w:val="20"/>
              </w:rPr>
            </w:r>
          </w:p>
          <w:p>
            <w:pPr>
              <w:pStyle w:val="Normal"/>
              <w:widowControl w:val="false"/>
              <w:tabs>
                <w:tab w:val="clear" w:pos="720"/>
                <w:tab w:val="left" w:pos="709" w:leader="none"/>
                <w:tab w:val="left" w:pos="1080" w:leader="none"/>
              </w:tabs>
              <w:jc w:val="center"/>
              <w:rPr>
                <w:sz w:val="20"/>
                <w:szCs w:val="20"/>
              </w:rPr>
            </w:pPr>
            <w:r>
              <w:rPr>
                <w:sz w:val="20"/>
                <w:szCs w:val="20"/>
              </w:rPr>
            </w:r>
          </w:p>
          <w:p>
            <w:pPr>
              <w:pStyle w:val="Normal"/>
              <w:widowControl w:val="false"/>
              <w:tabs>
                <w:tab w:val="clear" w:pos="720"/>
                <w:tab w:val="left" w:pos="709" w:leader="none"/>
                <w:tab w:val="left" w:pos="1080" w:leader="none"/>
              </w:tabs>
              <w:jc w:val="center"/>
              <w:rPr>
                <w:sz w:val="20"/>
                <w:szCs w:val="20"/>
              </w:rPr>
            </w:pPr>
            <w:r>
              <w:rPr>
                <w:sz w:val="20"/>
                <w:szCs w:val="20"/>
              </w:rPr>
              <w:t>Наименование показателя</w:t>
            </w:r>
          </w:p>
        </w:tc>
        <w:tc>
          <w:tcPr>
            <w:tcW w:w="1254" w:type="dxa"/>
            <w:tcBorders>
              <w:top w:val="single" w:sz="4" w:space="0" w:color="000000"/>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r>
          </w:p>
          <w:p>
            <w:pPr>
              <w:pStyle w:val="Normal"/>
              <w:widowControl w:val="false"/>
              <w:tabs>
                <w:tab w:val="clear" w:pos="720"/>
                <w:tab w:val="left" w:pos="709" w:leader="none"/>
                <w:tab w:val="left" w:pos="1080" w:leader="none"/>
              </w:tabs>
              <w:ind w:hanging="0" w:right="176"/>
              <w:jc w:val="center"/>
              <w:rPr>
                <w:sz w:val="20"/>
                <w:szCs w:val="20"/>
              </w:rPr>
            </w:pPr>
            <w:r>
              <w:rPr>
                <w:sz w:val="20"/>
                <w:szCs w:val="20"/>
              </w:rPr>
            </w:r>
          </w:p>
          <w:p>
            <w:pPr>
              <w:pStyle w:val="Normal"/>
              <w:widowControl w:val="false"/>
              <w:tabs>
                <w:tab w:val="clear" w:pos="720"/>
                <w:tab w:val="left" w:pos="709" w:leader="none"/>
                <w:tab w:val="left" w:pos="1080" w:leader="none"/>
              </w:tabs>
              <w:ind w:hanging="0" w:right="176"/>
              <w:jc w:val="center"/>
              <w:rPr>
                <w:sz w:val="20"/>
                <w:szCs w:val="20"/>
              </w:rPr>
            </w:pPr>
            <w:r>
              <w:rPr>
                <w:sz w:val="20"/>
                <w:szCs w:val="20"/>
              </w:rPr>
            </w:r>
          </w:p>
          <w:p>
            <w:pPr>
              <w:pStyle w:val="Normal"/>
              <w:widowControl w:val="false"/>
              <w:tabs>
                <w:tab w:val="clear" w:pos="720"/>
                <w:tab w:val="left" w:pos="709" w:leader="none"/>
                <w:tab w:val="left" w:pos="1080" w:leader="none"/>
              </w:tabs>
              <w:ind w:hanging="0" w:right="176"/>
              <w:jc w:val="center"/>
              <w:rPr>
                <w:sz w:val="20"/>
                <w:szCs w:val="20"/>
              </w:rPr>
            </w:pPr>
            <w:r>
              <w:rPr>
                <w:sz w:val="20"/>
                <w:szCs w:val="20"/>
              </w:rPr>
              <w:t>Ед. изм.</w:t>
            </w:r>
          </w:p>
        </w:tc>
        <w:tc>
          <w:tcPr>
            <w:tcW w:w="1128" w:type="dxa"/>
            <w:tcBorders>
              <w:top w:val="single" w:sz="4" w:space="0" w:color="000000"/>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r>
          </w:p>
          <w:p>
            <w:pPr>
              <w:pStyle w:val="Normal"/>
              <w:widowControl w:val="false"/>
              <w:tabs>
                <w:tab w:val="clear" w:pos="720"/>
                <w:tab w:val="left" w:pos="709" w:leader="none"/>
                <w:tab w:val="left" w:pos="1080" w:leader="none"/>
              </w:tabs>
              <w:ind w:hanging="0" w:right="176"/>
              <w:jc w:val="center"/>
              <w:rPr>
                <w:sz w:val="20"/>
                <w:szCs w:val="20"/>
              </w:rPr>
            </w:pPr>
            <w:r>
              <w:rPr>
                <w:sz w:val="20"/>
                <w:szCs w:val="20"/>
              </w:rPr>
              <w:t>Значение показателя за соответствующий период прошлого года</w:t>
            </w:r>
          </w:p>
          <w:p>
            <w:pPr>
              <w:pStyle w:val="Normal"/>
              <w:widowControl w:val="false"/>
              <w:tabs>
                <w:tab w:val="clear" w:pos="720"/>
                <w:tab w:val="left" w:pos="709" w:leader="none"/>
                <w:tab w:val="left" w:pos="1080" w:leader="none"/>
              </w:tabs>
              <w:ind w:hanging="0" w:right="176"/>
              <w:jc w:val="center"/>
              <w:rPr>
                <w:sz w:val="20"/>
                <w:szCs w:val="20"/>
              </w:rPr>
            </w:pPr>
            <w:r>
              <w:rPr>
                <w:sz w:val="20"/>
                <w:szCs w:val="20"/>
              </w:rPr>
            </w:r>
          </w:p>
        </w:tc>
        <w:tc>
          <w:tcPr>
            <w:tcW w:w="1478" w:type="dxa"/>
            <w:tcBorders>
              <w:top w:val="single" w:sz="4" w:space="0" w:color="000000"/>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Значение показателя за отчетный период</w:t>
            </w:r>
          </w:p>
        </w:tc>
        <w:tc>
          <w:tcPr>
            <w:tcW w:w="14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r>
          </w:p>
          <w:p>
            <w:pPr>
              <w:pStyle w:val="Normal"/>
              <w:widowControl w:val="false"/>
              <w:tabs>
                <w:tab w:val="clear" w:pos="720"/>
                <w:tab w:val="left" w:pos="709" w:leader="none"/>
                <w:tab w:val="left" w:pos="1080" w:leader="none"/>
              </w:tabs>
              <w:ind w:hanging="0" w:right="176"/>
              <w:jc w:val="center"/>
              <w:rPr>
                <w:sz w:val="20"/>
                <w:szCs w:val="20"/>
              </w:rPr>
            </w:pPr>
            <w:r>
              <w:rPr>
                <w:sz w:val="20"/>
                <w:szCs w:val="20"/>
              </w:rPr>
            </w:r>
          </w:p>
          <w:p>
            <w:pPr>
              <w:pStyle w:val="Normal"/>
              <w:widowControl w:val="false"/>
              <w:tabs>
                <w:tab w:val="clear" w:pos="720"/>
                <w:tab w:val="left" w:pos="709" w:leader="none"/>
                <w:tab w:val="left" w:pos="1080" w:leader="none"/>
              </w:tabs>
              <w:ind w:hanging="0" w:right="176"/>
              <w:jc w:val="center"/>
              <w:rPr>
                <w:sz w:val="20"/>
                <w:szCs w:val="20"/>
              </w:rPr>
            </w:pPr>
            <w:r>
              <w:rPr>
                <w:sz w:val="20"/>
                <w:szCs w:val="20"/>
              </w:rPr>
            </w:r>
          </w:p>
          <w:p>
            <w:pPr>
              <w:pStyle w:val="Normal"/>
              <w:widowControl w:val="false"/>
              <w:tabs>
                <w:tab w:val="clear" w:pos="720"/>
                <w:tab w:val="left" w:pos="709" w:leader="none"/>
                <w:tab w:val="left" w:pos="1080" w:leader="none"/>
              </w:tabs>
              <w:ind w:hanging="0" w:right="176"/>
              <w:jc w:val="center"/>
              <w:rPr>
                <w:sz w:val="20"/>
                <w:szCs w:val="20"/>
              </w:rPr>
            </w:pPr>
            <w:r>
              <w:rPr>
                <w:sz w:val="20"/>
                <w:szCs w:val="20"/>
              </w:rPr>
              <w:t>Динамика, %</w:t>
            </w:r>
          </w:p>
        </w:tc>
      </w:tr>
      <w:tr>
        <w:trPr/>
        <w:tc>
          <w:tcPr>
            <w:tcW w:w="9579" w:type="dxa"/>
            <w:gridSpan w:val="5"/>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Итоги развития МО</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Выручка от реализации продукции, работ, услуг (в действующих ценах) - всего,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14587,1</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17222,9</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118,1</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rPr>
                <w:sz w:val="20"/>
                <w:szCs w:val="20"/>
              </w:rPr>
            </w:pPr>
            <w:r>
              <w:rPr>
                <w:sz w:val="20"/>
                <w:szCs w:val="20"/>
              </w:rPr>
              <w:t>в т.ч. по видам экономической деятельности:</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rPr>
                <w:sz w:val="20"/>
                <w:szCs w:val="20"/>
              </w:rPr>
            </w:pPr>
            <w:r>
              <w:rPr>
                <w:sz w:val="20"/>
                <w:szCs w:val="20"/>
              </w:rPr>
              <w:t>Сельское, лесное хозяйство, охота, рыболовство  и рыбоводство, в том числе: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729,7</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916,6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170" w:left="0" w:right="170"/>
              <w:jc w:val="center"/>
              <w:rPr>
                <w:sz w:val="20"/>
                <w:szCs w:val="20"/>
              </w:rPr>
            </w:pPr>
            <w:r>
              <w:rPr>
                <w:sz w:val="20"/>
                <w:szCs w:val="20"/>
              </w:rPr>
              <w:t>125,6</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rPr>
                <w:sz w:val="20"/>
                <w:szCs w:val="20"/>
              </w:rPr>
            </w:pPr>
            <w:r>
              <w:rPr>
                <w:sz w:val="20"/>
                <w:szCs w:val="20"/>
              </w:rPr>
              <w:t>Растениеводство и животноводство, охота и предоставление соответствующих услуг в этих областях</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673,2</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855,6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170" w:left="0" w:right="170"/>
              <w:jc w:val="center"/>
              <w:rPr>
                <w:sz w:val="20"/>
                <w:szCs w:val="20"/>
              </w:rPr>
            </w:pPr>
            <w:r>
              <w:rPr>
                <w:sz w:val="20"/>
                <w:szCs w:val="20"/>
              </w:rPr>
              <w:t>127,1</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rPr>
                <w:sz w:val="20"/>
                <w:szCs w:val="20"/>
              </w:rPr>
            </w:pPr>
            <w:r>
              <w:rPr>
                <w:sz w:val="20"/>
                <w:szCs w:val="20"/>
              </w:rPr>
              <w:t>Лесоводство и лесозаготовки</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56,5</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61,0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170" w:left="0" w:right="170"/>
              <w:jc w:val="center"/>
              <w:rPr>
                <w:sz w:val="20"/>
                <w:szCs w:val="20"/>
              </w:rPr>
            </w:pPr>
            <w:r>
              <w:rPr>
                <w:sz w:val="20"/>
                <w:szCs w:val="20"/>
              </w:rPr>
              <w:t>108,0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rPr>
                <w:sz w:val="20"/>
                <w:szCs w:val="20"/>
              </w:rPr>
            </w:pPr>
            <w:r>
              <w:rPr>
                <w:sz w:val="20"/>
                <w:szCs w:val="20"/>
              </w:rPr>
              <w:t>Рыболовство и рыбоводство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rPr>
                <w:sz w:val="20"/>
                <w:szCs w:val="20"/>
              </w:rPr>
            </w:pPr>
            <w:r>
              <w:rPr>
                <w:sz w:val="20"/>
                <w:szCs w:val="20"/>
              </w:rPr>
              <w:t>Добыча полезных ископаемых</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left"/>
              <w:rPr>
                <w:sz w:val="20"/>
                <w:szCs w:val="20"/>
              </w:rPr>
            </w:pPr>
            <w:r>
              <w:rPr>
                <w:sz w:val="20"/>
                <w:szCs w:val="20"/>
              </w:rPr>
              <w:t>12721,1</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left"/>
              <w:rPr>
                <w:sz w:val="20"/>
                <w:szCs w:val="20"/>
              </w:rPr>
            </w:pPr>
            <w:r>
              <w:rPr>
                <w:sz w:val="20"/>
                <w:szCs w:val="20"/>
              </w:rPr>
              <w:t>15211,7</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119,7</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rPr>
                <w:sz w:val="20"/>
                <w:szCs w:val="20"/>
              </w:rPr>
            </w:pPr>
            <w:r>
              <w:rPr>
                <w:sz w:val="20"/>
                <w:szCs w:val="20"/>
              </w:rPr>
              <w:t>Обрабатывающие производства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17,1</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9,0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52,3</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rPr>
                <w:sz w:val="20"/>
                <w:szCs w:val="20"/>
              </w:rPr>
            </w:pPr>
            <w:r>
              <w:rPr>
                <w:sz w:val="20"/>
                <w:szCs w:val="20"/>
              </w:rPr>
              <w:t>Обеспечение электрической энергией, газом и паром; кондиционирование воздуха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148,0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150,6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101,8</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57" w:right="170"/>
              <w:rPr>
                <w:sz w:val="20"/>
                <w:szCs w:val="20"/>
              </w:rPr>
            </w:pPr>
            <w:r>
              <w:rPr>
                <w:sz w:val="20"/>
                <w:szCs w:val="20"/>
              </w:rPr>
              <w:t>Водоснабжение; водоотведение, организация сбора и утилизации отходов, деятельность по ликвидации загрязнений</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rPr>
                <w:sz w:val="20"/>
                <w:szCs w:val="20"/>
              </w:rPr>
            </w:pPr>
            <w:r>
              <w:rPr>
                <w:sz w:val="20"/>
                <w:szCs w:val="20"/>
              </w:rPr>
              <w:t>Строительство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57" w:left="0" w:right="170"/>
              <w:jc w:val="left"/>
              <w:rPr>
                <w:sz w:val="20"/>
                <w:szCs w:val="20"/>
              </w:rPr>
            </w:pPr>
            <w:r>
              <w:rPr>
                <w:sz w:val="20"/>
                <w:szCs w:val="20"/>
              </w:rPr>
              <w:t>65,5</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34,9</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10" w:left="0" w:right="170"/>
              <w:jc w:val="left"/>
              <w:rPr>
                <w:sz w:val="20"/>
                <w:szCs w:val="20"/>
              </w:rPr>
            </w:pPr>
            <w:r>
              <w:rPr>
                <w:sz w:val="20"/>
                <w:szCs w:val="20"/>
              </w:rPr>
              <w:t>53,3</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rPr>
                <w:sz w:val="20"/>
                <w:szCs w:val="20"/>
              </w:rPr>
            </w:pPr>
            <w:r>
              <w:rPr>
                <w:sz w:val="20"/>
                <w:szCs w:val="20"/>
              </w:rPr>
              <w:t>Торговля оптовая и розничная; ремонт автотранспортных средств и мотоциклов</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914,7</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900,1</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67" w:left="0" w:right="170"/>
              <w:jc w:val="left"/>
              <w:rPr>
                <w:sz w:val="20"/>
                <w:szCs w:val="20"/>
              </w:rPr>
            </w:pPr>
            <w:r>
              <w:rPr>
                <w:sz w:val="20"/>
                <w:szCs w:val="20"/>
              </w:rPr>
              <w:t>98,4</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Транспортировка и хранение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Деятельность в области информации и связи</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center"/>
              <w:rPr>
                <w:sz w:val="20"/>
                <w:szCs w:val="20"/>
              </w:rPr>
            </w:pPr>
            <w:r>
              <w:rPr>
                <w:sz w:val="20"/>
                <w:szCs w:val="20"/>
              </w:rPr>
              <w:t>Прочие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Выручка от реализации продукции , работ, услуг  (в действующих ценах) предприятий малого бизнеса ( с учетом микропредприятий)</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b/>
                <w:bCs/>
                <w:sz w:val="20"/>
                <w:szCs w:val="20"/>
              </w:rPr>
            </w:pPr>
            <w:r>
              <w:rPr>
                <w:b/>
                <w:bCs/>
                <w:sz w:val="20"/>
                <w:szCs w:val="20"/>
              </w:rPr>
              <w:t>3923,6</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b/>
                <w:bCs/>
                <w:sz w:val="20"/>
                <w:szCs w:val="20"/>
              </w:rPr>
            </w:pPr>
            <w:r>
              <w:rPr>
                <w:b/>
                <w:bCs/>
                <w:sz w:val="20"/>
                <w:szCs w:val="20"/>
              </w:rPr>
              <w:t>5026,8</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128,1</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Прибыль  прибыльных предприятий ( с учетом предприятий малого бизнеса)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b/>
                <w:bCs/>
                <w:sz w:val="20"/>
                <w:szCs w:val="20"/>
              </w:rPr>
            </w:pPr>
            <w:r>
              <w:rPr>
                <w:b/>
                <w:bCs/>
                <w:sz w:val="20"/>
                <w:szCs w:val="20"/>
              </w:rPr>
              <w:t>451,9</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b/>
                <w:bCs/>
                <w:sz w:val="20"/>
                <w:szCs w:val="20"/>
              </w:rPr>
            </w:pPr>
            <w:r>
              <w:rPr>
                <w:b/>
                <w:bCs/>
                <w:sz w:val="20"/>
                <w:szCs w:val="20"/>
              </w:rPr>
              <w:t>380,8</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84,3</w:t>
            </w:r>
          </w:p>
        </w:tc>
      </w:tr>
      <w:tr>
        <w:trPr/>
        <w:tc>
          <w:tcPr>
            <w:tcW w:w="9579" w:type="dxa"/>
            <w:gridSpan w:val="5"/>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Состояние основных видов экономической деятельности хозяйствующих субъектов МО</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Промышленное производство: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Объем отгруженных товаров собственного производства, выполненных работ и услуг (В+C+D+E)</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12881,5</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15392,4</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119,5</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Индекс промышленного производства (В+C+D+Е)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104,7</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92,6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88,4</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Добыча полезных ископаемых (В):</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Объем отгруженных товаров собственного производства, выполненных работ и услуг</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12712,1</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15211,7</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119,7</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Индекс промышленного производства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104,7</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pPr>
            <w:r>
              <w:rPr>
                <w:sz w:val="20"/>
                <w:szCs w:val="20"/>
              </w:rPr>
              <w:t>92,6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88,4</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i/>
                <w:i/>
                <w:iCs/>
                <w:sz w:val="20"/>
                <w:szCs w:val="20"/>
              </w:rPr>
            </w:pPr>
            <w:r>
              <w:rPr>
                <w:b/>
                <w:bCs/>
                <w:i/>
                <w:iCs/>
                <w:sz w:val="20"/>
                <w:szCs w:val="20"/>
              </w:rPr>
              <w:t>Обрабатывающие производства (С):</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Объем отгруженных товаров собственного производства, выполненных работ и услуг</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19,6</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12,1</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61,7</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Индекс промышленного производства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72,7</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7,9</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10,9</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i/>
                <w:i/>
                <w:iCs/>
                <w:sz w:val="20"/>
                <w:szCs w:val="20"/>
              </w:rPr>
            </w:pPr>
            <w:r>
              <w:rPr>
                <w:b/>
                <w:bCs/>
                <w:i/>
                <w:iCs/>
                <w:sz w:val="20"/>
                <w:szCs w:val="20"/>
              </w:rPr>
              <w:t>Обеспечение электрической энергией, газом и паром; кондиционирование воздуха (D):</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Объем отгруженных товаров собственного производства, выполненных работ и услуг</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149,8</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168,6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112,6</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Индекс промышленного производства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97,8</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102,2</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104,5</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i/>
                <w:i/>
                <w:iCs/>
                <w:sz w:val="20"/>
                <w:szCs w:val="20"/>
              </w:rPr>
            </w:pPr>
            <w:r>
              <w:rPr>
                <w:b/>
                <w:bCs/>
                <w:i/>
                <w:iCs/>
                <w:sz w:val="20"/>
                <w:szCs w:val="20"/>
              </w:rPr>
              <w:t>Водоснабжение; водоотведение, организация сбора и утилизации отходов, деятельность по ликвидации загрязнений (Е):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Объем отгруженных товаров собственного производства, выполненных работ и услуг</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i/>
                <w:i/>
                <w:iCs/>
                <w:sz w:val="20"/>
                <w:szCs w:val="20"/>
              </w:rPr>
            </w:pPr>
            <w:r>
              <w:rPr>
                <w:b/>
                <w:bCs/>
                <w:i/>
                <w:iCs/>
                <w:sz w:val="20"/>
                <w:szCs w:val="20"/>
              </w:rPr>
              <w:t>Сельское, лесное хозяйство, охота, рыбаловство и рыбоводство: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Валовый выпуск продукции в сельхозорганизациях</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1585,7</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2025,7</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127,7</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Индекс производства продукции в сельхозорганизациях</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97,2</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102,6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105,6</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i/>
                <w:i/>
                <w:iCs/>
                <w:sz w:val="20"/>
                <w:szCs w:val="20"/>
              </w:rPr>
            </w:pPr>
            <w:r>
              <w:rPr>
                <w:b/>
                <w:bCs/>
                <w:i/>
                <w:iCs/>
                <w:sz w:val="20"/>
                <w:szCs w:val="20"/>
              </w:rPr>
              <w:t>Строительство: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Объем работ</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396,2</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337,5</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85,2</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Ввод в действие жилых домов</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кв. м</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113" w:right="170"/>
              <w:jc w:val="left"/>
              <w:rPr>
                <w:sz w:val="20"/>
                <w:szCs w:val="20"/>
              </w:rPr>
            </w:pPr>
            <w:r>
              <w:rPr>
                <w:sz w:val="20"/>
                <w:szCs w:val="20"/>
              </w:rPr>
              <w:t>2170,0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left"/>
              <w:rPr>
                <w:sz w:val="20"/>
                <w:szCs w:val="20"/>
              </w:rPr>
            </w:pPr>
            <w:r>
              <w:rPr>
                <w:sz w:val="20"/>
                <w:szCs w:val="20"/>
              </w:rPr>
              <w:t>1312,0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60,5</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i/>
                <w:i/>
                <w:iCs/>
                <w:sz w:val="20"/>
                <w:szCs w:val="20"/>
              </w:rPr>
            </w:pPr>
            <w:r>
              <w:rPr>
                <w:b/>
                <w:bCs/>
                <w:i/>
                <w:iCs/>
                <w:sz w:val="20"/>
                <w:szCs w:val="20"/>
              </w:rPr>
              <w:t>Транспортировка и хранение: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Грузооборот</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тыс.т/км</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left"/>
              <w:rPr>
                <w:sz w:val="20"/>
                <w:szCs w:val="20"/>
              </w:rPr>
            </w:pPr>
            <w:r>
              <w:rPr>
                <w:sz w:val="20"/>
                <w:szCs w:val="20"/>
              </w:rPr>
              <w:t>438563,7</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398068,6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90,8</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i/>
                <w:i/>
                <w:iCs/>
                <w:sz w:val="20"/>
                <w:szCs w:val="20"/>
              </w:rPr>
            </w:pPr>
            <w:r>
              <w:rPr>
                <w:b/>
                <w:bCs/>
                <w:i/>
                <w:iCs/>
                <w:sz w:val="20"/>
                <w:szCs w:val="20"/>
              </w:rPr>
              <w:t>Торговля оптовая и розничная; ремонт автотранспортных средств и мотоциклов</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Розничный товарооборот</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908,8</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894,0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98,4</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Индекс физического объема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108,7</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93,2</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85,7</w:t>
            </w:r>
          </w:p>
        </w:tc>
      </w:tr>
      <w:tr>
        <w:trPr>
          <w:trHeight w:val="438" w:hRule="atLeast"/>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Малый бизнес</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Число действующих малых предприятий- всего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20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20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в том числе по видам экономической деятельности:</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Сельское хозяйство, охота,рыболовство и рыбоводство, в том числе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8</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8</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Растениводство и животноводство, охота и предоставление сопутствующих услуг в этих областях</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6</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Лесоводство и  лесозаготовки</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2</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2</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Рыболовство и рыбоводство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Добыча полезных ископаемых</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4</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4</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Обрабатывающие производства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2</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2</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Обеспечение электрической энергией, газом и паром; кондиционирование воздуха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2</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2</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Водоснабжение; водоотведение, организация сбора и утилизации отходов, деятельность по ликвидации загрязнений</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Строительство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Торговля оптовая и розничная ; ремонт автотранспортных средств и мотоциклов</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4</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4</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center"/>
              <w:rPr>
                <w:sz w:val="20"/>
                <w:szCs w:val="20"/>
              </w:rPr>
            </w:pPr>
            <w:r>
              <w:rPr>
                <w:sz w:val="20"/>
                <w:szCs w:val="20"/>
              </w:rPr>
              <w:t>Уд. вес выручки предприятий малого бизнеса ( с учетом микропредприятий)в выручке  в целом по МО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26,9</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29,2</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108,6</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b/>
                <w:bCs/>
                <w:sz w:val="20"/>
                <w:szCs w:val="20"/>
              </w:rPr>
            </w:pPr>
            <w:r>
              <w:rPr>
                <w:b/>
                <w:bCs/>
                <w:sz w:val="20"/>
                <w:szCs w:val="20"/>
              </w:rPr>
              <w:t>Количество индивидуальных предпринимателей -всего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b/>
                <w:bCs/>
                <w:sz w:val="20"/>
                <w:szCs w:val="20"/>
              </w:rPr>
            </w:pPr>
            <w:r>
              <w:rPr>
                <w:b/>
                <w:bCs/>
                <w:sz w:val="20"/>
                <w:szCs w:val="20"/>
              </w:rPr>
              <w:t>139</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b/>
                <w:bCs/>
                <w:sz w:val="20"/>
                <w:szCs w:val="20"/>
              </w:rPr>
            </w:pPr>
            <w:r>
              <w:rPr>
                <w:b/>
                <w:bCs/>
                <w:sz w:val="20"/>
                <w:szCs w:val="20"/>
              </w:rPr>
              <w:t>139</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в том числе по видам экономической деятельности</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Сельское, лесное хозяйство , охота, рыболовство и рыбоводство, в том числе: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40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40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Растениеводство и животноводство, охота и предоставление соответствующих услуг в этих областях</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40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40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Торговля оптовая и розничная; ремонт автотранспортных средств и мотоциклов</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ед.</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99</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center"/>
              <w:rPr>
                <w:sz w:val="20"/>
                <w:szCs w:val="20"/>
              </w:rPr>
            </w:pPr>
            <w:r>
              <w:rPr>
                <w:sz w:val="20"/>
                <w:szCs w:val="20"/>
              </w:rPr>
              <w:t>99</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b/>
                <w:bCs/>
                <w:sz w:val="20"/>
                <w:szCs w:val="20"/>
              </w:rPr>
            </w:pPr>
            <w:r>
              <w:rPr>
                <w:b/>
                <w:bCs/>
                <w:sz w:val="20"/>
                <w:szCs w:val="20"/>
              </w:rPr>
              <w:t>Объем инвестиций в основной капитал за счет всех источников-всего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млн. 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center"/>
              <w:rPr>
                <w:b/>
                <w:bCs/>
                <w:sz w:val="20"/>
                <w:szCs w:val="20"/>
              </w:rPr>
            </w:pPr>
            <w:r>
              <w:rPr>
                <w:b/>
                <w:bCs/>
                <w:sz w:val="20"/>
                <w:szCs w:val="20"/>
              </w:rPr>
              <w:t>1103,2</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в том числе бюджетные инвестиции</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center"/>
              <w:rPr>
                <w:sz w:val="20"/>
                <w:szCs w:val="20"/>
              </w:rPr>
            </w:pPr>
            <w:r>
              <w:rPr>
                <w:sz w:val="20"/>
                <w:szCs w:val="20"/>
              </w:rPr>
              <w:t>398,0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0</w:t>
            </w:r>
          </w:p>
        </w:tc>
      </w:tr>
      <w:tr>
        <w:trPr/>
        <w:tc>
          <w:tcPr>
            <w:tcW w:w="9579" w:type="dxa"/>
            <w:gridSpan w:val="5"/>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Демография, трудовые ресурсы и уровень жизни населения</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b/>
                <w:bCs/>
                <w:sz w:val="20"/>
                <w:szCs w:val="20"/>
              </w:rPr>
            </w:pPr>
            <w:r>
              <w:rPr>
                <w:b/>
                <w:bCs/>
                <w:sz w:val="20"/>
                <w:szCs w:val="20"/>
              </w:rPr>
              <w:t>Численность постоянного населения -всего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19,1</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18,9</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98,5</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b/>
                <w:bCs/>
                <w:sz w:val="20"/>
                <w:szCs w:val="20"/>
              </w:rPr>
            </w:pPr>
            <w:r>
              <w:rPr>
                <w:b/>
                <w:bCs/>
                <w:sz w:val="20"/>
                <w:szCs w:val="20"/>
              </w:rPr>
              <w:t>Уровень регистрируемой безработицы (к трудоспособному населению)</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0,6</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0,4</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66,7</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b/>
                <w:bCs/>
                <w:sz w:val="20"/>
                <w:szCs w:val="20"/>
              </w:rPr>
            </w:pPr>
            <w:r>
              <w:rPr>
                <w:b/>
                <w:bCs/>
                <w:sz w:val="20"/>
                <w:szCs w:val="20"/>
              </w:rPr>
              <w:t>Среднесписочная численность работников ( без внешних совместителей) по полному кругу организаций,</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4,808</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4,945</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102,9</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rPr>
            </w:pPr>
            <w:r>
              <w:rPr>
                <w:sz w:val="20"/>
                <w:szCs w:val="20"/>
              </w:rPr>
              <w:t>в том числе: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b/>
                <w:bCs/>
                <w:sz w:val="20"/>
                <w:szCs w:val="20"/>
              </w:rPr>
            </w:pPr>
            <w:r>
              <w:rPr>
                <w:b/>
                <w:bCs/>
                <w:sz w:val="20"/>
                <w:szCs w:val="20"/>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b/>
                <w:bCs/>
                <w:sz w:val="20"/>
                <w:szCs w:val="20"/>
              </w:rPr>
            </w:pPr>
            <w:r>
              <w:rPr>
                <w:b/>
                <w:bCs/>
                <w:sz w:val="20"/>
                <w:szCs w:val="20"/>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Сельское, лесное хозяйство , охота, рыболовство и рыбоводство, в том числе: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0,168</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0,165</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98,2</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Растениеводство и животноводство, охота и предоставление соответствующих услуг в этих областях</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0,159</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0,154</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96,9</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Лесоводство и лесозаготовки</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0,009</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0,011</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122,2</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Добыча полезных ископаемых</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1,907</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2,023</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106,1</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Обрабатывающие производства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0,006</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0,005</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83,3</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Обеспечение электрической энергией, газом и паром; кондиционирование воздуха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0,243</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0,226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93,1</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Строительство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0,171</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0,188</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109,9</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Торговля оптовая и розничная ; ремонт автотранспортных средств и мотоциклов</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0,181</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0,229</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126,5</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Государственное управление  и обеспечение военной безопасности; обязательное социальное обеспечение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0,322</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0,298</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92,5</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Образование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1,291</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1,300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100,7</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Культура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0,155</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0,144</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92,9</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Здравоохранение и предоставление социальных услуг</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0,302</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0,306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101,3</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Прочие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0,062</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0,061</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98,4</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b/>
                <w:bCs/>
                <w:i/>
                <w:i/>
                <w:iCs/>
                <w:sz w:val="20"/>
                <w:szCs w:val="20"/>
              </w:rPr>
            </w:pPr>
            <w:r>
              <w:rPr>
                <w:b/>
                <w:bCs/>
                <w:i/>
                <w:iCs/>
                <w:sz w:val="20"/>
                <w:szCs w:val="20"/>
              </w:rPr>
              <w:t>В том числе из общей  численности работающих численность работников бюджетной сферы, финансируемой из консолидированного местного бюджета-всего,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b/>
                <w:bCs/>
                <w:sz w:val="20"/>
                <w:szCs w:val="20"/>
              </w:rPr>
            </w:pPr>
            <w:r>
              <w:rPr>
                <w:b/>
                <w:bCs/>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b/>
                <w:bCs/>
                <w:sz w:val="20"/>
                <w:szCs w:val="20"/>
              </w:rPr>
            </w:pPr>
            <w:r>
              <w:rPr>
                <w:b/>
                <w:bCs/>
                <w:sz w:val="20"/>
                <w:szCs w:val="20"/>
              </w:rPr>
              <w:t>1,863</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b/>
                <w:bCs/>
                <w:sz w:val="20"/>
                <w:szCs w:val="20"/>
              </w:rPr>
            </w:pPr>
            <w:r>
              <w:rPr>
                <w:b/>
                <w:bCs/>
                <w:sz w:val="20"/>
                <w:szCs w:val="20"/>
              </w:rPr>
              <w:t>1,838</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98,7</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из них по отраслям социальной сферы:</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rPr>
            </w:pPr>
            <w:r>
              <w:rPr>
                <w:sz w:val="20"/>
                <w:szCs w:val="20"/>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rPr>
            </w:pPr>
            <w:r>
              <w:rPr>
                <w:sz w:val="20"/>
                <w:szCs w:val="20"/>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Деятельность в области культуры, спорта, организации досуга и развлечений, в том числе: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0,155</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0,144</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92,9</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Образование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1,199</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1,209</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100,8</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Культура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0,313</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0,288</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92,0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i/>
                <w:i/>
                <w:iCs/>
                <w:sz w:val="20"/>
                <w:szCs w:val="20"/>
              </w:rPr>
            </w:pPr>
            <w:r>
              <w:rPr>
                <w:i/>
                <w:iCs/>
                <w:sz w:val="20"/>
                <w:szCs w:val="20"/>
              </w:rPr>
              <w:t>Прочие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0"/>
              <w:jc w:val="center"/>
              <w:rPr>
                <w:sz w:val="20"/>
                <w:szCs w:val="20"/>
              </w:rPr>
            </w:pPr>
            <w:r>
              <w:rPr>
                <w:sz w:val="20"/>
                <w:szCs w:val="20"/>
              </w:rPr>
              <w:t>тыс.чел.</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0,196</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0,197</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100,5</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В том числе среднемесячная начисленная заработная плата ( без выплат социального характера) по полному кругу организаций,</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b/>
                <w:bCs/>
                <w:sz w:val="20"/>
                <w:szCs w:val="20"/>
              </w:rPr>
            </w:pPr>
            <w:r>
              <w:rPr>
                <w:b/>
                <w:bCs/>
                <w:sz w:val="20"/>
                <w:szCs w:val="20"/>
              </w:rPr>
              <w:t>65319</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left"/>
              <w:rPr>
                <w:b/>
                <w:bCs/>
                <w:sz w:val="20"/>
                <w:szCs w:val="20"/>
              </w:rPr>
            </w:pPr>
            <w:r>
              <w:rPr>
                <w:b/>
                <w:bCs/>
                <w:sz w:val="20"/>
                <w:szCs w:val="20"/>
              </w:rPr>
              <w:t>74097</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113,4</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в том числе: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shd w:fill="FFFF00" w:val="clear"/>
              </w:rPr>
            </w:pPr>
            <w:r>
              <w:rPr>
                <w:sz w:val="20"/>
                <w:szCs w:val="20"/>
                <w:shd w:fill="FFFF00" w:val="clear"/>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shd w:fill="FFFF00" w:val="clear"/>
              </w:rPr>
            </w:pPr>
            <w:r>
              <w:rPr>
                <w:sz w:val="20"/>
                <w:szCs w:val="20"/>
                <w:shd w:fill="FFFF00" w:val="clear"/>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shd w:fill="FFFF00" w:val="clear"/>
              </w:rPr>
            </w:pPr>
            <w:r>
              <w:rPr>
                <w:sz w:val="20"/>
                <w:szCs w:val="20"/>
                <w:shd w:fill="FFFF00" w:val="clear"/>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Сельское, лесное хозяйство, охота, рыбаловство и рыбоводство, в том числе: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left"/>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343" w:leader="none"/>
                <w:tab w:val="left" w:pos="709" w:leader="none"/>
                <w:tab w:val="left" w:pos="1080" w:leader="none"/>
              </w:tabs>
              <w:ind w:hanging="0" w:right="170"/>
              <w:jc w:val="left"/>
              <w:rPr>
                <w:sz w:val="20"/>
                <w:szCs w:val="20"/>
              </w:rPr>
            </w:pPr>
            <w:r>
              <w:rPr>
                <w:sz w:val="20"/>
                <w:szCs w:val="20"/>
              </w:rPr>
              <w:t>7476</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49807</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132,9</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Растениеводство и животноводство, охота и предоставление соответствующих услуг в этих областях</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343" w:leader="none"/>
                <w:tab w:val="left" w:pos="709" w:leader="none"/>
                <w:tab w:val="left" w:pos="1080" w:leader="none"/>
              </w:tabs>
              <w:ind w:hanging="0" w:right="170"/>
              <w:jc w:val="left"/>
              <w:rPr>
                <w:sz w:val="20"/>
                <w:szCs w:val="20"/>
              </w:rPr>
            </w:pPr>
            <w:r>
              <w:rPr>
                <w:sz w:val="20"/>
                <w:szCs w:val="20"/>
              </w:rPr>
              <w:t>38266</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52220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136,5</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Лесоводство и лесозаготовки</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343" w:leader="none"/>
                <w:tab w:val="left" w:pos="709" w:leader="none"/>
                <w:tab w:val="left" w:pos="1080" w:leader="none"/>
              </w:tabs>
              <w:ind w:hanging="0" w:right="170"/>
              <w:jc w:val="left"/>
              <w:rPr>
                <w:sz w:val="20"/>
                <w:szCs w:val="20"/>
              </w:rPr>
            </w:pPr>
            <w:r>
              <w:rPr>
                <w:sz w:val="20"/>
                <w:szCs w:val="20"/>
              </w:rPr>
              <w:t>23509</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16030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68,2</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Добыча полезных ископаемых</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343" w:leader="none"/>
                <w:tab w:val="left" w:pos="709" w:leader="none"/>
                <w:tab w:val="left" w:pos="1080" w:leader="none"/>
              </w:tabs>
              <w:ind w:hanging="0" w:right="170"/>
              <w:jc w:val="left"/>
              <w:rPr>
                <w:sz w:val="20"/>
                <w:szCs w:val="20"/>
              </w:rPr>
            </w:pPr>
            <w:r>
              <w:rPr>
                <w:sz w:val="20"/>
                <w:szCs w:val="20"/>
              </w:rPr>
              <w:t>86270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1008363</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116,9</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Обрабатывающие производства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343" w:leader="none"/>
                <w:tab w:val="left" w:pos="709" w:leader="none"/>
                <w:tab w:val="left" w:pos="1080" w:leader="none"/>
              </w:tabs>
              <w:ind w:hanging="0" w:right="170"/>
              <w:jc w:val="left"/>
              <w:rPr>
                <w:sz w:val="20"/>
                <w:szCs w:val="20"/>
              </w:rPr>
            </w:pPr>
            <w:r>
              <w:rPr>
                <w:sz w:val="20"/>
                <w:szCs w:val="20"/>
              </w:rPr>
              <w:t>16403</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19600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119,5</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Обеспечение электрической энергией, газом и паром; кондиционирование воздуха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343" w:leader="none"/>
                <w:tab w:val="left" w:pos="709" w:leader="none"/>
                <w:tab w:val="left" w:pos="1080" w:leader="none"/>
              </w:tabs>
              <w:ind w:hanging="0" w:right="170"/>
              <w:jc w:val="left"/>
              <w:rPr>
                <w:sz w:val="20"/>
                <w:szCs w:val="20"/>
              </w:rPr>
            </w:pPr>
            <w:r>
              <w:rPr>
                <w:sz w:val="20"/>
                <w:szCs w:val="20"/>
              </w:rPr>
              <w:t>38858</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45184</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116,3</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Строительство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343" w:leader="none"/>
                <w:tab w:val="left" w:pos="709" w:leader="none"/>
                <w:tab w:val="left" w:pos="1080" w:leader="none"/>
              </w:tabs>
              <w:ind w:hanging="0" w:right="170"/>
              <w:jc w:val="left"/>
              <w:rPr>
                <w:sz w:val="20"/>
                <w:szCs w:val="20"/>
              </w:rPr>
            </w:pPr>
            <w:r>
              <w:rPr>
                <w:sz w:val="20"/>
                <w:szCs w:val="20"/>
              </w:rPr>
              <w:t>59569</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61916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103,9</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Торговля оптовая и розничная; ремонт автотранспортных средств и мотоциклов</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343" w:leader="none"/>
                <w:tab w:val="left" w:pos="709" w:leader="none"/>
                <w:tab w:val="left" w:pos="1080" w:leader="none"/>
              </w:tabs>
              <w:ind w:hanging="0" w:right="170"/>
              <w:jc w:val="left"/>
              <w:rPr>
                <w:sz w:val="20"/>
                <w:szCs w:val="20"/>
              </w:rPr>
            </w:pPr>
            <w:r>
              <w:rPr>
                <w:sz w:val="20"/>
                <w:szCs w:val="20"/>
              </w:rPr>
              <w:t>20094</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28546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142,1</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Государственное управление и обеспечение военной безопасности; обязательное социальное обеспечение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343" w:leader="none"/>
                <w:tab w:val="left" w:pos="709" w:leader="none"/>
                <w:tab w:val="left" w:pos="1080" w:leader="none"/>
              </w:tabs>
              <w:ind w:hanging="0" w:right="170"/>
              <w:jc w:val="left"/>
              <w:rPr>
                <w:sz w:val="20"/>
                <w:szCs w:val="20"/>
              </w:rPr>
            </w:pPr>
            <w:r>
              <w:rPr>
                <w:sz w:val="20"/>
                <w:szCs w:val="20"/>
              </w:rPr>
              <w:t>62676</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67311</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107,4</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Образование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55886</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59450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106,4</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Здравоохранение и предоставление социальных услуг</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53305</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55716</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104,5</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Культура</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53671</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56158</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104,6</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Прочие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50384</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53384</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106,0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Среднемесячная  начисленная заработная плата работников бюджетной сферы, финансируемой из консолидированного бюджета-всего</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firstLine="57" w:left="0" w:right="170"/>
              <w:jc w:val="left"/>
              <w:rPr>
                <w:sz w:val="20"/>
                <w:szCs w:val="20"/>
              </w:rPr>
            </w:pPr>
            <w:r>
              <w:rPr>
                <w:sz w:val="20"/>
                <w:szCs w:val="20"/>
              </w:rPr>
              <w:t>55374</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58944</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106,4</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i/>
                <w:i/>
                <w:iCs/>
                <w:sz w:val="20"/>
                <w:szCs w:val="20"/>
              </w:rPr>
            </w:pPr>
            <w:r>
              <w:rPr>
                <w:i/>
                <w:iCs/>
                <w:sz w:val="20"/>
                <w:szCs w:val="20"/>
              </w:rPr>
              <w:t>из них по категориям работников  :</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left"/>
              <w:rPr>
                <w:sz w:val="20"/>
                <w:szCs w:val="20"/>
              </w:rPr>
            </w:pPr>
            <w:r>
              <w:rPr>
                <w:sz w:val="20"/>
                <w:szCs w:val="20"/>
              </w:rPr>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firstLine="57" w:right="170"/>
              <w:jc w:val="left"/>
              <w:rPr>
                <w:sz w:val="20"/>
                <w:szCs w:val="20"/>
              </w:rPr>
            </w:pPr>
            <w:r>
              <w:rPr>
                <w:sz w:val="20"/>
                <w:szCs w:val="20"/>
              </w:rPr>
              <w:t>Деятельность в области культуры, спорта, организации досуга и развлечений, в том числе: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53671</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left"/>
              <w:rPr>
                <w:sz w:val="20"/>
                <w:szCs w:val="20"/>
              </w:rPr>
            </w:pPr>
            <w:r>
              <w:rPr>
                <w:sz w:val="20"/>
                <w:szCs w:val="20"/>
              </w:rPr>
              <w:t>56158</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104,6</w:t>
            </w:r>
          </w:p>
        </w:tc>
      </w:tr>
      <w:tr>
        <w:trPr>
          <w:trHeight w:val="317" w:hRule="atLeast"/>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Образование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55887</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left"/>
              <w:rPr>
                <w:sz w:val="20"/>
                <w:szCs w:val="20"/>
              </w:rPr>
            </w:pPr>
            <w:r>
              <w:rPr>
                <w:sz w:val="20"/>
                <w:szCs w:val="20"/>
              </w:rPr>
              <w:t>59330</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106,2</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Управление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62981</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left"/>
              <w:rPr>
                <w:sz w:val="20"/>
                <w:szCs w:val="20"/>
              </w:rPr>
            </w:pPr>
            <w:r>
              <w:rPr>
                <w:sz w:val="20"/>
                <w:szCs w:val="20"/>
              </w:rPr>
              <w:t>67247</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106,8</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0"/>
              <w:jc w:val="left"/>
              <w:rPr>
                <w:sz w:val="20"/>
                <w:szCs w:val="20"/>
              </w:rPr>
            </w:pPr>
            <w:r>
              <w:rPr>
                <w:sz w:val="20"/>
                <w:szCs w:val="20"/>
              </w:rPr>
              <w:t>Прочие</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sz w:val="20"/>
                <w:szCs w:val="20"/>
              </w:rPr>
            </w:pPr>
            <w:r>
              <w:rPr>
                <w:sz w:val="20"/>
                <w:szCs w:val="20"/>
              </w:rPr>
              <w:t>41460</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left"/>
              <w:rPr>
                <w:sz w:val="20"/>
                <w:szCs w:val="20"/>
              </w:rPr>
            </w:pPr>
            <w:r>
              <w:rPr>
                <w:sz w:val="20"/>
                <w:szCs w:val="20"/>
              </w:rPr>
              <w:t>46441</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sz w:val="20"/>
                <w:szCs w:val="20"/>
              </w:rPr>
            </w:pPr>
            <w:r>
              <w:rPr>
                <w:sz w:val="20"/>
                <w:szCs w:val="20"/>
              </w:rPr>
              <w:t>112,0</w:t>
            </w:r>
          </w:p>
        </w:tc>
      </w:tr>
      <w:tr>
        <w:trPr/>
        <w:tc>
          <w:tcPr>
            <w:tcW w:w="430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Фонд начисленной заработной платы по полному кругу организаций</w:t>
            </w:r>
          </w:p>
        </w:tc>
        <w:tc>
          <w:tcPr>
            <w:tcW w:w="1254"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млн.руб.</w:t>
            </w:r>
          </w:p>
        </w:tc>
        <w:tc>
          <w:tcPr>
            <w:tcW w:w="112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suppressAutoHyphens w:val="true"/>
              <w:bidi w:val="0"/>
              <w:spacing w:before="0" w:after="0"/>
              <w:ind w:hanging="0" w:left="0" w:right="170"/>
              <w:jc w:val="left"/>
              <w:rPr>
                <w:b/>
                <w:bCs/>
                <w:sz w:val="20"/>
                <w:szCs w:val="20"/>
              </w:rPr>
            </w:pPr>
            <w:r>
              <w:rPr>
                <w:b/>
                <w:bCs/>
                <w:sz w:val="20"/>
                <w:szCs w:val="20"/>
              </w:rPr>
              <w:t>3768,3</w:t>
            </w:r>
          </w:p>
        </w:tc>
        <w:tc>
          <w:tcPr>
            <w:tcW w:w="1478" w:type="dxa"/>
            <w:tcBorders>
              <w:left w:val="single" w:sz="4" w:space="0" w:color="000000"/>
              <w:bottom w:val="single" w:sz="4" w:space="0" w:color="000000"/>
            </w:tcBorders>
          </w:tcPr>
          <w:p>
            <w:pPr>
              <w:pStyle w:val="Normal"/>
              <w:widowControl w:val="false"/>
              <w:tabs>
                <w:tab w:val="clear" w:pos="720"/>
                <w:tab w:val="left" w:pos="709" w:leader="none"/>
                <w:tab w:val="left" w:pos="1080" w:leader="none"/>
              </w:tabs>
              <w:ind w:hanging="0" w:right="176"/>
              <w:jc w:val="left"/>
              <w:rPr>
                <w:b/>
                <w:bCs/>
                <w:sz w:val="20"/>
                <w:szCs w:val="20"/>
              </w:rPr>
            </w:pPr>
            <w:r>
              <w:rPr>
                <w:b/>
                <w:bCs/>
                <w:sz w:val="20"/>
                <w:szCs w:val="20"/>
              </w:rPr>
              <w:t>4397,7</w:t>
            </w:r>
          </w:p>
        </w:tc>
        <w:tc>
          <w:tcPr>
            <w:tcW w:w="1415" w:type="dxa"/>
            <w:tcBorders>
              <w:left w:val="single" w:sz="4" w:space="0" w:color="000000"/>
              <w:bottom w:val="single" w:sz="4" w:space="0" w:color="000000"/>
              <w:right w:val="single" w:sz="4" w:space="0" w:color="000000"/>
            </w:tcBorders>
          </w:tcPr>
          <w:p>
            <w:pPr>
              <w:pStyle w:val="Normal"/>
              <w:widowControl w:val="false"/>
              <w:tabs>
                <w:tab w:val="clear" w:pos="720"/>
                <w:tab w:val="left" w:pos="709" w:leader="none"/>
                <w:tab w:val="left" w:pos="1080" w:leader="none"/>
              </w:tabs>
              <w:jc w:val="center"/>
              <w:rPr>
                <w:b/>
                <w:bCs/>
                <w:sz w:val="20"/>
                <w:szCs w:val="20"/>
              </w:rPr>
            </w:pPr>
            <w:r>
              <w:rPr>
                <w:b/>
                <w:bCs/>
                <w:sz w:val="20"/>
                <w:szCs w:val="20"/>
              </w:rPr>
              <w:t>116,7</w:t>
            </w:r>
          </w:p>
        </w:tc>
      </w:tr>
    </w:tbl>
    <w:p>
      <w:pPr>
        <w:pStyle w:val="Normal"/>
        <w:widowControl w:val="false"/>
        <w:suppressAutoHyphens w:val="false"/>
        <w:spacing w:before="0" w:after="0"/>
        <w:ind w:firstLine="709" w:right="176"/>
        <w:contextualSpacing/>
        <w:rPr>
          <w:sz w:val="28"/>
          <w:szCs w:val="28"/>
        </w:rPr>
      </w:pPr>
      <w:r>
        <w:rPr>
          <w:sz w:val="28"/>
          <w:szCs w:val="28"/>
        </w:rPr>
      </w:r>
    </w:p>
    <w:p>
      <w:pPr>
        <w:pStyle w:val="Normal"/>
        <w:widowControl w:val="false"/>
        <w:suppressAutoHyphens w:val="false"/>
        <w:spacing w:before="0" w:after="0"/>
        <w:contextualSpacing/>
        <w:rPr>
          <w:sz w:val="25"/>
          <w:szCs w:val="25"/>
        </w:rPr>
      </w:pPr>
      <w:r>
        <w:rPr>
          <w:sz w:val="25"/>
          <w:szCs w:val="25"/>
        </w:rPr>
        <w:t>Параметры, характеризующие экономическое положение Тулунского муниципального района, имеют тенденцию к росту.</w:t>
      </w:r>
    </w:p>
    <w:p>
      <w:pPr>
        <w:pStyle w:val="Normal"/>
        <w:widowControl w:val="false"/>
        <w:suppressAutoHyphens w:val="false"/>
        <w:spacing w:before="0" w:after="0"/>
        <w:contextualSpacing/>
        <w:rPr/>
      </w:pPr>
      <w:r>
        <w:rPr>
          <w:sz w:val="25"/>
          <w:szCs w:val="25"/>
        </w:rPr>
        <w:t xml:space="preserve"> </w:t>
      </w:r>
      <w:r>
        <w:rPr>
          <w:color w:val="000000"/>
          <w:sz w:val="25"/>
          <w:szCs w:val="25"/>
        </w:rPr>
        <w:t xml:space="preserve">Выручка от реализации продукции,  работ, услуг производимых на территории Тулунского района за 2025 год составила 17 222,9 млн. руб., по </w:t>
      </w:r>
      <w:r>
        <w:rPr>
          <w:sz w:val="25"/>
          <w:szCs w:val="25"/>
        </w:rPr>
        <w:t>сравнению с 2024г. увеличилась на 18,1%. Значительное увеличение выручки наблюдается в сельском хозяйстве (растениеводство и животноводство) на 27,1%; в добыче полезных ископаемых на 19,7%; в лесоводстве и лесозаготовке на 8,0% ; в обеспечении электрической энергией, газом и паром, кондиционирования воздуха на 1,8%.</w:t>
      </w:r>
    </w:p>
    <w:p>
      <w:pPr>
        <w:pStyle w:val="Normal"/>
        <w:widowControl w:val="false"/>
        <w:suppressAutoHyphens w:val="false"/>
        <w:spacing w:before="0" w:after="0"/>
        <w:contextualSpacing/>
        <w:rPr/>
      </w:pPr>
      <w:r>
        <w:rPr>
          <w:sz w:val="25"/>
          <w:szCs w:val="25"/>
        </w:rPr>
        <w:t xml:space="preserve"> </w:t>
      </w:r>
      <w:r>
        <w:rPr>
          <w:rFonts w:cs="Arial CYR"/>
          <w:color w:val="000000"/>
          <w:sz w:val="25"/>
          <w:szCs w:val="25"/>
        </w:rPr>
        <w:t xml:space="preserve">Выручка от реализации продукции, работ, услуг  снизилась </w:t>
      </w:r>
      <w:r>
        <w:rPr>
          <w:sz w:val="25"/>
          <w:szCs w:val="25"/>
        </w:rPr>
        <w:t xml:space="preserve">в  обрабатывающем производстве на 47,7% ( в связи с отсутствием спроса на бетонные изделия, на услуги спецтехники, также нет строительства объектов, заниженные сметы, условия оплаты); в строительстве на 46,7% ( в связи с уменьшением объема  строительных работ); в торговле на 1,6%( в связи со снижением покупательской способности населения, конкурентной средой). </w:t>
      </w:r>
    </w:p>
    <w:p>
      <w:pPr>
        <w:pStyle w:val="Normal"/>
        <w:ind w:firstLine="567" w:right="0"/>
        <w:rPr>
          <w:sz w:val="25"/>
          <w:szCs w:val="25"/>
        </w:rPr>
      </w:pPr>
      <w:r>
        <w:rPr>
          <w:sz w:val="25"/>
          <w:szCs w:val="25"/>
        </w:rPr>
        <w:t>В общем  объеме выручки от реализации продукции (работ, услуг) района  основную долю занимает добыча полезных ископаемых  88,3%;  на торговлю приходится 5,1%; на сельское хозяйство 5,0%; на обеспечение электрической энергией, газом и  паром 0,9 %; на лесное хозяйства 0,4%.</w:t>
      </w:r>
    </w:p>
    <w:p>
      <w:pPr>
        <w:pStyle w:val="Normal"/>
        <w:widowControl w:val="false"/>
        <w:tabs>
          <w:tab w:val="clear" w:pos="720"/>
          <w:tab w:val="left" w:pos="709" w:leader="none"/>
          <w:tab w:val="left" w:pos="1080" w:leader="none"/>
        </w:tabs>
        <w:ind w:firstLine="340" w:right="0"/>
        <w:jc w:val="left"/>
        <w:rPr>
          <w:sz w:val="25"/>
          <w:szCs w:val="25"/>
        </w:rPr>
      </w:pPr>
      <w:r>
        <w:rPr>
          <w:sz w:val="25"/>
          <w:szCs w:val="25"/>
        </w:rPr>
        <w:t xml:space="preserve">Выручка от реализации продукции , работ, услуг  (в действующих ценах) предприятий малого бизнеса ( с учетом микропредприятий) за 2025 год составила 5026,8 млн. руб., увеличилась на 28,1% по сравнению с выручкой за 2024 год. </w:t>
      </w:r>
    </w:p>
    <w:p>
      <w:pPr>
        <w:pStyle w:val="Normal"/>
        <w:widowControl w:val="false"/>
        <w:tabs>
          <w:tab w:val="clear" w:pos="720"/>
          <w:tab w:val="left" w:pos="54" w:leader="none"/>
          <w:tab w:val="left" w:pos="8025" w:leader="none"/>
          <w:tab w:val="left" w:pos="8346" w:leader="none"/>
          <w:tab w:val="left" w:pos="8475" w:leader="none"/>
        </w:tabs>
        <w:ind w:hanging="0" w:right="0"/>
        <w:jc w:val="left"/>
        <w:rPr>
          <w:sz w:val="25"/>
          <w:szCs w:val="25"/>
        </w:rPr>
      </w:pPr>
      <w:r>
        <w:rPr>
          <w:sz w:val="25"/>
          <w:szCs w:val="25"/>
        </w:rPr>
        <w:t xml:space="preserve">      </w:t>
      </w:r>
      <w:r>
        <w:rPr>
          <w:sz w:val="25"/>
          <w:szCs w:val="25"/>
        </w:rPr>
        <w:t>Доля выручки от реализации продукции, работ, услуг  (в действующих ценах) пред- приятий малого бизнеса ( с учетом микропредприятий) в выручке в целом по муниципальному образованию составила 29,2%, увеличилась к 2024 году на 8,6%.</w:t>
      </w:r>
    </w:p>
    <w:p>
      <w:pPr>
        <w:pStyle w:val="Normal"/>
        <w:widowControl w:val="false"/>
        <w:tabs>
          <w:tab w:val="clear" w:pos="720"/>
          <w:tab w:val="left" w:pos="54" w:leader="none"/>
          <w:tab w:val="left" w:pos="8025" w:leader="none"/>
          <w:tab w:val="left" w:pos="8346" w:leader="none"/>
          <w:tab w:val="left" w:pos="8475" w:leader="none"/>
        </w:tabs>
        <w:ind w:hanging="0" w:right="0"/>
        <w:jc w:val="left"/>
        <w:rPr/>
      </w:pPr>
      <w:r>
        <w:rPr/>
        <w:t xml:space="preserve">       </w:t>
      </w:r>
      <w:r>
        <w:rPr>
          <w:color w:val="000000"/>
        </w:rPr>
        <w:t>Прибыль прибыльно работающих предприятий ( без Филиала «Тулунуголь» ООО «ЭН+ УГОЛЬ») составила 380,8 млн. руб., к 2024 году снизилась на 15,7 %.</w:t>
      </w:r>
    </w:p>
    <w:p>
      <w:pPr>
        <w:pStyle w:val="13"/>
        <w:widowControl w:val="false"/>
        <w:suppressAutoHyphens w:val="false"/>
        <w:spacing w:before="0" w:after="0"/>
        <w:ind w:firstLine="709" w:left="0" w:right="0"/>
        <w:contextualSpacing/>
        <w:rPr/>
      </w:pPr>
      <w:r>
        <w:rPr>
          <w:color w:val="000000"/>
          <w:sz w:val="25"/>
          <w:szCs w:val="25"/>
        </w:rPr>
        <w:t xml:space="preserve">В объеме выручки от реализации продукции (работ, услуг) основная доля, 70,1%- это результаты производственной деятельности филиала «Разрез «Тулунуголь» ООО «Компания «Востсибуголь». </w:t>
      </w:r>
      <w:r>
        <w:rPr>
          <w:color w:val="000000"/>
        </w:rPr>
        <w:t xml:space="preserve"> За 2025 года Филиалом «Разрез «Тулунуголь» ООО «ЭН+УГОЛЬ» было добыто 4767,6 тыс. тонн угля, что на 1191,8 тыс. тонн или на 20,0 % меньше, чем за 2024 год (5959,4 тыс. тонн). </w:t>
      </w:r>
    </w:p>
    <w:p>
      <w:pPr>
        <w:pStyle w:val="13"/>
        <w:widowControl w:val="false"/>
        <w:suppressAutoHyphens w:val="false"/>
        <w:spacing w:before="0" w:after="0"/>
        <w:ind w:firstLine="709" w:left="0" w:right="0"/>
        <w:contextualSpacing/>
        <w:rPr>
          <w:color w:val="000000"/>
        </w:rPr>
      </w:pPr>
      <w:r>
        <w:rPr>
          <w:color w:val="000000"/>
        </w:rPr>
        <w:t>Среднесписочная численность работающих на данном предприятии на 01.01.2026 г. составила 1909 чел., увеличилась по сравнению с аналогичным уровнем прошлого года на 108 чел. Среднемесячная заработная плата работников составила 99855 руб., увеличилась по сравнению с 2024 годом на 16,6 %.</w:t>
      </w:r>
    </w:p>
    <w:p>
      <w:pPr>
        <w:pStyle w:val="Normal"/>
        <w:widowControl w:val="false"/>
        <w:suppressAutoHyphens w:val="false"/>
        <w:spacing w:before="0" w:after="0"/>
        <w:ind w:firstLine="709" w:right="176"/>
        <w:contextualSpacing/>
        <w:rPr>
          <w:color w:val="000000"/>
        </w:rPr>
      </w:pPr>
      <w:r>
        <w:rPr>
          <w:color w:val="000000"/>
        </w:rPr>
        <w:t xml:space="preserve">За 2025 год ООО «Мугунский южный разрез» было добыто 2822,1 тыс. тонн угля, что на 583,7 тыс. тонн или на 26,6 % больше, чем за 2024 год (2238,4 тыс. тонн). </w:t>
      </w:r>
    </w:p>
    <w:p>
      <w:pPr>
        <w:pStyle w:val="13"/>
        <w:widowControl w:val="false"/>
        <w:suppressAutoHyphens w:val="false"/>
        <w:spacing w:before="0" w:after="0"/>
        <w:ind w:firstLine="709" w:left="0" w:right="0"/>
        <w:contextualSpacing/>
        <w:rPr>
          <w:color w:val="000000"/>
        </w:rPr>
      </w:pPr>
      <w:r>
        <w:rPr>
          <w:color w:val="000000"/>
        </w:rPr>
        <w:t>Объем отгруженных товаров собственного производства в действующих ценах данного предприятия увеличился на 42,8 % по сравнению с аналогичным периодом прошлого года и составил 3144,3 млн. руб. (за 2024 г. – 2202,1 млн. руб.).</w:t>
      </w:r>
    </w:p>
    <w:p>
      <w:pPr>
        <w:pStyle w:val="13"/>
        <w:widowControl w:val="false"/>
        <w:suppressAutoHyphens w:val="false"/>
        <w:spacing w:before="0" w:after="0"/>
        <w:ind w:firstLine="709" w:left="0" w:right="0"/>
        <w:contextualSpacing/>
        <w:rPr>
          <w:color w:val="000000"/>
        </w:rPr>
      </w:pPr>
      <w:r>
        <w:rPr>
          <w:color w:val="000000"/>
        </w:rPr>
        <w:t>Среднесписочная численность работающих на данном предприятии на 01.01.2026 г. составила 112 чел. Среднемесячная заработная плата работников составила 119 215 руб., увеличилась по сравнению с 2024 годом на 21,2 %.</w:t>
      </w:r>
    </w:p>
    <w:p>
      <w:pPr>
        <w:pStyle w:val="BlockText"/>
        <w:widowControl w:val="false"/>
        <w:spacing w:before="0" w:after="0"/>
        <w:ind w:firstLine="709" w:left="0" w:right="0"/>
        <w:contextualSpacing/>
        <w:rPr>
          <w:color w:val="000000"/>
        </w:rPr>
      </w:pPr>
      <w:r>
        <w:rPr>
          <w:color w:val="000000"/>
        </w:rPr>
        <w:t xml:space="preserve">Выручка от реализации товаров (работ, услуг) по разделу «Добыча полезных ископаемых» увеличилась  на 19,7 % и составила 15211,7 млн. руб. </w:t>
      </w:r>
    </w:p>
    <w:p>
      <w:pPr>
        <w:pStyle w:val="BlockText"/>
        <w:widowControl w:val="false"/>
        <w:spacing w:before="0" w:after="0"/>
        <w:ind w:firstLine="709" w:left="0" w:right="0"/>
        <w:contextualSpacing/>
        <w:rPr>
          <w:color w:val="000000"/>
        </w:rPr>
      </w:pPr>
      <w:r>
        <w:rPr>
          <w:color w:val="000000"/>
        </w:rPr>
        <w:t xml:space="preserve">Среднесписочная численность работающих на 01.01.2026 г. составила 2023 чел., увеличилась на 116 чел. по сравнению с аналогичным уровнем прошлого года. </w:t>
      </w:r>
    </w:p>
    <w:p>
      <w:pPr>
        <w:pStyle w:val="BlockText"/>
        <w:widowControl w:val="false"/>
        <w:spacing w:before="0" w:after="0"/>
        <w:ind w:firstLine="709" w:left="0" w:right="0"/>
        <w:contextualSpacing/>
        <w:rPr>
          <w:color w:val="000000"/>
        </w:rPr>
      </w:pPr>
      <w:r>
        <w:rPr>
          <w:color w:val="000000"/>
        </w:rPr>
        <w:t>Среднемесячная заработная плата работников увеличилась на 16,9 % по сравнению с 2024 г. и составила 100,836 руб.</w:t>
      </w:r>
    </w:p>
    <w:p>
      <w:pPr>
        <w:pStyle w:val="Normal"/>
        <w:tabs>
          <w:tab w:val="clear" w:pos="720"/>
          <w:tab w:val="left" w:pos="851" w:leader="none"/>
        </w:tabs>
        <w:spacing w:before="0" w:after="120"/>
        <w:ind w:hanging="0" w:right="0"/>
        <w:contextualSpacing/>
        <w:rPr/>
      </w:pPr>
      <w:r>
        <w:rPr>
          <w:color w:val="000000"/>
        </w:rPr>
        <w:t xml:space="preserve">  </w:t>
      </w:r>
      <w:r>
        <w:rPr>
          <w:color w:val="000000"/>
        </w:rPr>
        <w:t xml:space="preserve">Показатели  уровня жизни населения Тулунского муниципального района характеризуются следующим: </w:t>
      </w:r>
    </w:p>
    <w:p>
      <w:pPr>
        <w:pStyle w:val="Normal"/>
        <w:tabs>
          <w:tab w:val="clear" w:pos="720"/>
          <w:tab w:val="left" w:pos="851" w:leader="none"/>
        </w:tabs>
        <w:spacing w:before="0" w:after="120"/>
        <w:ind w:hanging="0" w:right="0"/>
        <w:contextualSpacing/>
        <w:rPr/>
      </w:pPr>
      <w:r>
        <w:rPr>
          <w:color w:val="000000"/>
        </w:rPr>
        <w:t xml:space="preserve">     </w:t>
      </w:r>
      <w:r>
        <w:rPr>
          <w:color w:val="000000"/>
        </w:rPr>
        <w:t xml:space="preserve">Среднесписочная численность работающих на 01.01.2025г. во всех отраслях народного хозяйства района составила 4 945 чел., что на 137 чел. или на 2,9 % больше соответствующего уровня прошлого года. </w:t>
      </w:r>
    </w:p>
    <w:p>
      <w:pPr>
        <w:pStyle w:val="Normal"/>
        <w:tabs>
          <w:tab w:val="clear" w:pos="720"/>
          <w:tab w:val="left" w:pos="851" w:leader="none"/>
        </w:tabs>
        <w:spacing w:before="0" w:after="120"/>
        <w:ind w:hanging="0" w:right="0"/>
        <w:contextualSpacing/>
        <w:rPr/>
      </w:pPr>
      <w:r>
        <w:rPr>
          <w:color w:val="000000"/>
        </w:rPr>
        <w:t xml:space="preserve">    </w:t>
      </w:r>
      <w:r>
        <w:rPr/>
        <w:t xml:space="preserve">Увеличилась численность работающих в  производстве по добыче полезных ископаемых на 116 чел.,  в торговле на 48 чел., в строительстве на 17 чел., в лесоводстве и лесозаготовке на 2 чел. </w:t>
      </w:r>
    </w:p>
    <w:p>
      <w:pPr>
        <w:pStyle w:val="Normal"/>
        <w:tabs>
          <w:tab w:val="clear" w:pos="720"/>
          <w:tab w:val="left" w:pos="851" w:leader="none"/>
        </w:tabs>
        <w:spacing w:before="0" w:after="120"/>
        <w:ind w:hanging="0" w:right="0"/>
        <w:contextualSpacing/>
        <w:rPr/>
      </w:pPr>
      <w:r>
        <w:rPr>
          <w:color w:val="000000"/>
        </w:rPr>
        <w:t xml:space="preserve">   </w:t>
      </w:r>
      <w:r>
        <w:rPr>
          <w:color w:val="000000"/>
        </w:rPr>
        <w:t>Снизилась численность работающих, занятых  обеспечением электрической энергией, газом и паром, кондиционированием воздуха на 17 чел., в растениеводстве и животноводстве на 5 чел.,  в обрабатывающем производстве на  1 чел.</w:t>
      </w:r>
    </w:p>
    <w:p>
      <w:pPr>
        <w:pStyle w:val="Normal"/>
        <w:widowControl w:val="false"/>
        <w:tabs>
          <w:tab w:val="clear" w:pos="720"/>
          <w:tab w:val="left" w:pos="851" w:leader="none"/>
        </w:tabs>
        <w:suppressAutoHyphens w:val="false"/>
        <w:spacing w:before="0" w:after="120"/>
        <w:ind w:hanging="0" w:right="0"/>
        <w:contextualSpacing/>
        <w:rPr>
          <w:color w:val="000000"/>
        </w:rPr>
      </w:pPr>
      <w:r>
        <w:rPr>
          <w:color w:val="000000"/>
        </w:rPr>
        <w:t xml:space="preserve">       </w:t>
      </w:r>
      <w:r>
        <w:rPr>
          <w:color w:val="000000"/>
        </w:rPr>
        <w:t>В целом, в учреждениях, финансируемых из средств консолидированного местного бюджета, среднесписочная численность работающих составила 1 863 чел., что составляет 98,7 % к аналогичному уровню прошлого года.</w:t>
      </w:r>
    </w:p>
    <w:p>
      <w:pPr>
        <w:pStyle w:val="Normal"/>
        <w:widowControl w:val="false"/>
        <w:tabs>
          <w:tab w:val="clear" w:pos="720"/>
          <w:tab w:val="left" w:pos="851" w:leader="none"/>
        </w:tabs>
        <w:suppressAutoHyphens w:val="false"/>
        <w:spacing w:before="0" w:after="120"/>
        <w:ind w:hanging="0" w:right="0"/>
        <w:contextualSpacing/>
        <w:rPr/>
      </w:pPr>
      <w:r>
        <w:rPr/>
        <w:t xml:space="preserve">Фонд оплаты труда за 2025 год составил 4397,7 млн. руб., </w:t>
      </w:r>
      <w:r>
        <w:rPr>
          <w:color w:val="000000"/>
        </w:rPr>
        <w:t>по сравнению с 2024г. увеличился на 16,7%</w:t>
      </w:r>
      <w:r>
        <w:rPr/>
        <w:t xml:space="preserve">  (за 2024г. - 3 768,3 млн. руб.)</w:t>
      </w:r>
    </w:p>
    <w:p>
      <w:pPr>
        <w:pStyle w:val="BodyTextIndent"/>
        <w:widowControl w:val="false"/>
        <w:tabs>
          <w:tab w:val="clear" w:pos="720"/>
          <w:tab w:val="left" w:pos="851" w:leader="none"/>
        </w:tabs>
        <w:suppressAutoHyphens w:val="false"/>
        <w:spacing w:before="0" w:after="0"/>
        <w:contextualSpacing/>
        <w:rPr/>
      </w:pPr>
      <w:r>
        <w:rPr/>
        <w:t xml:space="preserve">Среднемесячная начисленная  заработная плата работников бюджетной сферы , финансируемой из консолидированного местного бюджета, по сравнению с прошлым годом, увеличилась на 6,4 % и составила 58 944 руб. </w:t>
      </w:r>
    </w:p>
    <w:p>
      <w:pPr>
        <w:pStyle w:val="BodyTextIndent"/>
        <w:widowControl w:val="false"/>
        <w:tabs>
          <w:tab w:val="clear" w:pos="720"/>
          <w:tab w:val="left" w:pos="851" w:leader="none"/>
        </w:tabs>
        <w:suppressAutoHyphens w:val="false"/>
        <w:spacing w:before="0" w:after="0"/>
        <w:contextualSpacing/>
        <w:rPr/>
      </w:pPr>
      <w:r>
        <w:rPr/>
        <w:t xml:space="preserve">Наиболее высокий уровень заработной платы на одного работника отмечается в добыче полезных ископаемых – 100 836 руб., в строительстве – 61 916 руб.,  в растениеводстве и животноводстве – 52 220 руб., в обеспечении электрической энергией, газом и паром – 45 184 руб.  </w:t>
      </w:r>
    </w:p>
    <w:p>
      <w:pPr>
        <w:pStyle w:val="Normal"/>
        <w:widowControl w:val="false"/>
        <w:tabs>
          <w:tab w:val="clear" w:pos="720"/>
          <w:tab w:val="left" w:pos="851" w:leader="none"/>
        </w:tabs>
        <w:suppressAutoHyphens w:val="false"/>
        <w:spacing w:before="0" w:after="0"/>
        <w:ind w:firstLine="709" w:right="176"/>
        <w:contextualSpacing/>
        <w:rPr/>
      </w:pPr>
      <w:r>
        <w:rPr/>
        <w:t>Самый низкий уровень среднемесячной заработной платы отмечается в   торговле - 28546 руб.,  обрабатывающем производстве – 19600 руб.,  в лесоводстве – 16030 руб, что обусловлено неполным рабочим днем работников данных организаций.</w:t>
      </w:r>
    </w:p>
    <w:p>
      <w:pPr>
        <w:pStyle w:val="Normal"/>
        <w:widowControl w:val="false"/>
        <w:tabs>
          <w:tab w:val="clear" w:pos="720"/>
          <w:tab w:val="left" w:pos="851" w:leader="none"/>
        </w:tabs>
        <w:suppressAutoHyphens w:val="false"/>
        <w:spacing w:before="0" w:after="0"/>
        <w:ind w:firstLine="709" w:right="176"/>
        <w:contextualSpacing/>
        <w:rPr/>
      </w:pPr>
      <w:r>
        <w:rPr/>
        <w:t>Рост среднемесячной заработной платы на одного работника, в сравнении с прошлым годом, произошел в торговле на 42,1%,  в растениеводстве и животноводстве – на 36,5 %, в обрабатывающем производстве – на 19,5 %, в  добыче полезных ископаемых – на 16,9 %,  в обеспечении электрической энергией, газом и паром – на 16,3 %., в строительстве – на 3,9 %.</w:t>
      </w:r>
    </w:p>
    <w:p>
      <w:pPr>
        <w:pStyle w:val="Normal"/>
        <w:widowControl w:val="false"/>
        <w:tabs>
          <w:tab w:val="clear" w:pos="720"/>
          <w:tab w:val="left" w:pos="851" w:leader="none"/>
        </w:tabs>
        <w:suppressAutoHyphens w:val="false"/>
        <w:spacing w:before="0" w:after="0"/>
        <w:ind w:firstLine="709" w:right="176"/>
        <w:contextualSpacing/>
        <w:rPr/>
      </w:pPr>
      <w:r>
        <w:rPr>
          <w:sz w:val="25"/>
          <w:szCs w:val="25"/>
        </w:rPr>
        <w:t xml:space="preserve">  </w:t>
      </w:r>
      <w:r>
        <w:rPr>
          <w:sz w:val="25"/>
          <w:szCs w:val="25"/>
        </w:rPr>
        <w:t>В учреждениях, финансируемых из средств местного бюджета, заработная плата увеличилась на 6,4 % и составила 58 944руб., в том числе:</w:t>
      </w:r>
    </w:p>
    <w:p>
      <w:pPr>
        <w:pStyle w:val="Normal"/>
        <w:widowControl w:val="false"/>
        <w:tabs>
          <w:tab w:val="clear" w:pos="720"/>
          <w:tab w:val="left" w:pos="851" w:leader="none"/>
        </w:tabs>
        <w:suppressAutoHyphens w:val="false"/>
        <w:spacing w:before="0" w:after="0"/>
        <w:ind w:firstLine="709" w:right="176"/>
        <w:contextualSpacing/>
        <w:rPr>
          <w:sz w:val="25"/>
          <w:szCs w:val="25"/>
        </w:rPr>
      </w:pPr>
      <w:r>
        <w:rPr>
          <w:sz w:val="25"/>
          <w:szCs w:val="25"/>
        </w:rPr>
        <w:t>- в учреждениях культуры – 56 158 руб. (104,6 % к 2024 году);</w:t>
      </w:r>
    </w:p>
    <w:p>
      <w:pPr>
        <w:pStyle w:val="Normal"/>
        <w:widowControl w:val="false"/>
        <w:tabs>
          <w:tab w:val="clear" w:pos="720"/>
          <w:tab w:val="left" w:pos="851" w:leader="none"/>
        </w:tabs>
        <w:suppressAutoHyphens w:val="false"/>
        <w:spacing w:before="0" w:after="0"/>
        <w:ind w:firstLine="709" w:right="176"/>
        <w:contextualSpacing/>
        <w:rPr>
          <w:sz w:val="25"/>
          <w:szCs w:val="25"/>
        </w:rPr>
      </w:pPr>
      <w:r>
        <w:rPr>
          <w:sz w:val="25"/>
          <w:szCs w:val="25"/>
        </w:rPr>
        <w:t>- в учреждениях образования – 59 330 руб. (106,2 %);</w:t>
      </w:r>
    </w:p>
    <w:p>
      <w:pPr>
        <w:pStyle w:val="Normal"/>
        <w:widowControl w:val="false"/>
        <w:tabs>
          <w:tab w:val="clear" w:pos="720"/>
          <w:tab w:val="left" w:pos="851" w:leader="none"/>
        </w:tabs>
        <w:suppressAutoHyphens w:val="false"/>
        <w:spacing w:before="0" w:after="0"/>
        <w:ind w:firstLine="709" w:right="176"/>
        <w:contextualSpacing/>
        <w:rPr>
          <w:color w:val="000000"/>
          <w:sz w:val="28"/>
          <w:szCs w:val="28"/>
        </w:rPr>
      </w:pPr>
      <w:r>
        <w:rPr>
          <w:color w:val="000000"/>
          <w:sz w:val="28"/>
          <w:szCs w:val="28"/>
        </w:rPr>
        <w:t>- в управлении (органы местного самоуправления) – 67 247 руб. (106,8 %);</w:t>
      </w:r>
    </w:p>
    <w:p>
      <w:pPr>
        <w:pStyle w:val="Normal"/>
        <w:widowControl w:val="false"/>
        <w:tabs>
          <w:tab w:val="clear" w:pos="720"/>
          <w:tab w:val="left" w:pos="851" w:leader="none"/>
        </w:tabs>
        <w:suppressAutoHyphens w:val="false"/>
        <w:spacing w:before="0" w:after="0"/>
        <w:ind w:firstLine="709" w:right="176"/>
        <w:contextualSpacing/>
        <w:rPr>
          <w:color w:val="000000"/>
          <w:sz w:val="25"/>
          <w:szCs w:val="25"/>
        </w:rPr>
      </w:pPr>
      <w:r>
        <w:rPr>
          <w:color w:val="000000"/>
          <w:sz w:val="25"/>
          <w:szCs w:val="25"/>
        </w:rPr>
        <w:t>- в прочих учреждениях (МКУ «Обслуживающий центр», МКУ «Центр МиФСОУ ТМР», МКУ «Единая дежурная диспетчерская служба» Тулунского района) – 46441 руб. (112,0 %).</w:t>
      </w:r>
    </w:p>
    <w:p>
      <w:pPr>
        <w:pStyle w:val="Normal"/>
        <w:widowControl w:val="false"/>
        <w:tabs>
          <w:tab w:val="clear" w:pos="720"/>
          <w:tab w:val="left" w:pos="851" w:leader="none"/>
        </w:tabs>
        <w:suppressAutoHyphens w:val="false"/>
        <w:spacing w:before="0" w:after="0"/>
        <w:ind w:firstLine="709" w:right="176"/>
        <w:contextualSpacing/>
        <w:rPr>
          <w:sz w:val="25"/>
          <w:szCs w:val="25"/>
        </w:rPr>
      </w:pPr>
      <w:r>
        <w:rPr>
          <w:sz w:val="25"/>
          <w:szCs w:val="25"/>
        </w:rPr>
        <w:t>Среднедушевой денежный доход работающего населения района составил 77089 руб., что превышает величину прожиточного минимума трудоспособного населения (19 157 руб.  в 4 раза.</w:t>
      </w:r>
    </w:p>
    <w:p>
      <w:pPr>
        <w:pStyle w:val="Normal"/>
        <w:widowControl w:val="false"/>
        <w:tabs>
          <w:tab w:val="clear" w:pos="720"/>
          <w:tab w:val="left" w:pos="851" w:leader="none"/>
        </w:tabs>
        <w:suppressAutoHyphens w:val="false"/>
        <w:spacing w:before="0" w:after="0"/>
        <w:ind w:firstLine="709" w:right="176"/>
        <w:contextualSpacing/>
        <w:rPr>
          <w:color w:val="000000"/>
          <w:sz w:val="25"/>
          <w:szCs w:val="25"/>
        </w:rPr>
      </w:pPr>
      <w:r>
        <w:rPr>
          <w:color w:val="000000"/>
          <w:sz w:val="25"/>
          <w:szCs w:val="25"/>
        </w:rPr>
        <w:t>Уровень регистрируемой безработицы снизился по сравнению с прошлым годом и составил 0,4 % (за 2024 г. – 0,6 %).</w:t>
      </w:r>
    </w:p>
    <w:p>
      <w:pPr>
        <w:pStyle w:val="Normal"/>
        <w:widowControl w:val="false"/>
        <w:tabs>
          <w:tab w:val="clear" w:pos="720"/>
          <w:tab w:val="left" w:pos="851" w:leader="none"/>
        </w:tabs>
        <w:suppressAutoHyphens w:val="false"/>
        <w:spacing w:before="0" w:after="0"/>
        <w:ind w:firstLine="709" w:right="176"/>
        <w:contextualSpacing/>
        <w:rPr>
          <w:color w:val="000000"/>
        </w:rPr>
      </w:pPr>
      <w:r>
        <w:rPr>
          <w:color w:val="000000"/>
        </w:rPr>
      </w:r>
    </w:p>
    <w:p>
      <w:pPr>
        <w:pStyle w:val="Normal"/>
        <w:widowControl w:val="false"/>
        <w:tabs>
          <w:tab w:val="clear" w:pos="720"/>
          <w:tab w:val="left" w:pos="851" w:leader="none"/>
        </w:tabs>
        <w:suppressAutoHyphens w:val="false"/>
        <w:spacing w:before="0" w:after="0"/>
        <w:ind w:hanging="0" w:right="176"/>
        <w:contextualSpacing/>
        <w:rPr/>
      </w:pPr>
      <w:r>
        <w:rPr/>
        <w:t xml:space="preserve">   </w:t>
      </w:r>
      <w:r>
        <w:rPr>
          <w:color w:val="C9211E"/>
          <w:sz w:val="25"/>
          <w:szCs w:val="25"/>
        </w:rPr>
        <w:t xml:space="preserve">           </w:t>
      </w:r>
    </w:p>
    <w:p>
      <w:pPr>
        <w:pStyle w:val="Normal"/>
        <w:tabs>
          <w:tab w:val="clear" w:pos="720"/>
          <w:tab w:val="left" w:pos="851" w:leader="none"/>
        </w:tabs>
        <w:spacing w:before="0" w:after="120"/>
        <w:ind w:hanging="0" w:right="0"/>
        <w:contextualSpacing/>
        <w:jc w:val="center"/>
        <w:rPr/>
      </w:pPr>
      <w:r>
        <w:rPr>
          <w:color w:val="000000"/>
          <w:sz w:val="25"/>
          <w:szCs w:val="25"/>
        </w:rPr>
        <w:t xml:space="preserve">   </w:t>
      </w:r>
      <w:r>
        <w:rPr>
          <w:b/>
          <w:sz w:val="25"/>
          <w:szCs w:val="25"/>
        </w:rPr>
        <w:t>2. Анализ нормативно-правовых документов муниципального</w:t>
      </w:r>
    </w:p>
    <w:p>
      <w:pPr>
        <w:pStyle w:val="Normal"/>
        <w:tabs>
          <w:tab w:val="clear" w:pos="720"/>
          <w:tab w:val="left" w:pos="851" w:leader="none"/>
        </w:tabs>
        <w:spacing w:before="0" w:after="120"/>
        <w:ind w:hanging="0" w:right="0"/>
        <w:contextualSpacing/>
        <w:jc w:val="center"/>
        <w:rPr>
          <w:b/>
          <w:sz w:val="25"/>
          <w:szCs w:val="25"/>
        </w:rPr>
      </w:pPr>
      <w:r>
        <w:rPr>
          <w:b/>
          <w:sz w:val="25"/>
          <w:szCs w:val="25"/>
        </w:rPr>
        <w:t xml:space="preserve"> </w:t>
      </w:r>
      <w:r>
        <w:rPr>
          <w:b/>
          <w:sz w:val="25"/>
          <w:szCs w:val="25"/>
        </w:rPr>
        <w:t>образования по вопросам составления, рассмотрения, утверждения</w:t>
      </w:r>
    </w:p>
    <w:p>
      <w:pPr>
        <w:pStyle w:val="Normal"/>
        <w:tabs>
          <w:tab w:val="clear" w:pos="720"/>
          <w:tab w:val="left" w:pos="851" w:leader="none"/>
        </w:tabs>
        <w:spacing w:before="0" w:after="120"/>
        <w:ind w:hanging="0" w:right="0"/>
        <w:contextualSpacing/>
        <w:jc w:val="center"/>
        <w:rPr>
          <w:b/>
          <w:sz w:val="25"/>
          <w:szCs w:val="25"/>
        </w:rPr>
      </w:pPr>
      <w:r>
        <w:rPr>
          <w:b/>
          <w:sz w:val="25"/>
          <w:szCs w:val="25"/>
        </w:rPr>
        <w:t xml:space="preserve"> </w:t>
      </w:r>
      <w:r>
        <w:rPr>
          <w:b/>
          <w:sz w:val="25"/>
          <w:szCs w:val="25"/>
        </w:rPr>
        <w:t xml:space="preserve">и исполнения местного бюджета. </w:t>
      </w:r>
    </w:p>
    <w:p>
      <w:pPr>
        <w:pStyle w:val="Normal"/>
        <w:tabs>
          <w:tab w:val="clear" w:pos="720"/>
          <w:tab w:val="left" w:pos="851" w:leader="none"/>
        </w:tabs>
        <w:spacing w:before="0" w:after="120"/>
        <w:ind w:hanging="0" w:right="0"/>
        <w:contextualSpacing/>
        <w:jc w:val="center"/>
        <w:rPr>
          <w:b/>
          <w:sz w:val="25"/>
          <w:szCs w:val="25"/>
        </w:rPr>
      </w:pPr>
      <w:r>
        <w:rPr>
          <w:b/>
          <w:sz w:val="25"/>
          <w:szCs w:val="25"/>
        </w:rPr>
        <w:t>Соблюдение федерального, областного, муниципального законодательства</w:t>
      </w:r>
    </w:p>
    <w:p>
      <w:pPr>
        <w:pStyle w:val="Normal"/>
        <w:tabs>
          <w:tab w:val="clear" w:pos="720"/>
          <w:tab w:val="left" w:pos="851" w:leader="none"/>
        </w:tabs>
        <w:spacing w:before="0" w:after="120"/>
        <w:ind w:hanging="0" w:right="0"/>
        <w:contextualSpacing/>
        <w:jc w:val="center"/>
        <w:rPr>
          <w:b/>
          <w:sz w:val="25"/>
          <w:szCs w:val="25"/>
        </w:rPr>
      </w:pPr>
      <w:r>
        <w:rPr>
          <w:b/>
          <w:sz w:val="25"/>
          <w:szCs w:val="25"/>
        </w:rPr>
        <w:t xml:space="preserve"> </w:t>
      </w:r>
      <w:r>
        <w:rPr>
          <w:b/>
          <w:sz w:val="25"/>
          <w:szCs w:val="25"/>
        </w:rPr>
        <w:t>в процессе составления, рассмотрения, утверждения и исполнения</w:t>
      </w:r>
    </w:p>
    <w:p>
      <w:pPr>
        <w:pStyle w:val="Normal"/>
        <w:tabs>
          <w:tab w:val="clear" w:pos="720"/>
          <w:tab w:val="left" w:pos="851" w:leader="none"/>
        </w:tabs>
        <w:spacing w:before="0" w:after="120"/>
        <w:ind w:hanging="0" w:right="0"/>
        <w:contextualSpacing/>
        <w:jc w:val="center"/>
        <w:rPr>
          <w:b/>
          <w:sz w:val="25"/>
          <w:szCs w:val="25"/>
        </w:rPr>
      </w:pPr>
      <w:r>
        <w:rPr>
          <w:b/>
          <w:sz w:val="25"/>
          <w:szCs w:val="25"/>
        </w:rPr>
        <w:t xml:space="preserve"> </w:t>
      </w:r>
      <w:r>
        <w:rPr>
          <w:b/>
          <w:sz w:val="25"/>
          <w:szCs w:val="25"/>
        </w:rPr>
        <w:t>местного бюджета.</w:t>
      </w:r>
    </w:p>
    <w:p>
      <w:pPr>
        <w:pStyle w:val="Normal"/>
        <w:tabs>
          <w:tab w:val="clear" w:pos="720"/>
          <w:tab w:val="left" w:pos="851" w:leader="none"/>
        </w:tabs>
        <w:spacing w:before="0" w:after="120"/>
        <w:ind w:hanging="0" w:right="0"/>
        <w:contextualSpacing/>
        <w:jc w:val="center"/>
        <w:rPr>
          <w:b/>
          <w:sz w:val="25"/>
          <w:szCs w:val="25"/>
        </w:rPr>
      </w:pPr>
      <w:r>
        <w:rPr>
          <w:b/>
          <w:sz w:val="25"/>
          <w:szCs w:val="25"/>
        </w:rPr>
      </w:r>
    </w:p>
    <w:p>
      <w:pPr>
        <w:pStyle w:val="Normal"/>
        <w:tabs>
          <w:tab w:val="clear" w:pos="720"/>
          <w:tab w:val="left" w:pos="709" w:leader="none"/>
          <w:tab w:val="left" w:pos="1080" w:leader="none"/>
        </w:tabs>
        <w:ind w:firstLine="180" w:right="176"/>
        <w:rPr/>
      </w:pPr>
      <w:r>
        <w:rPr>
          <w:sz w:val="25"/>
          <w:szCs w:val="25"/>
        </w:rPr>
        <w:t xml:space="preserve">        </w:t>
      </w:r>
      <w:r>
        <w:rPr>
          <w:sz w:val="25"/>
          <w:szCs w:val="25"/>
        </w:rPr>
        <w:t xml:space="preserve">Проект решения Думы Тулунского муниципального района «Об исполнении бюджета Тулунского муниципального района за 2025 год» представлен Контрольно-счетной палате муниципального образования «Тулунский район» 30 марта 2026 года (письмо временно исполняющий полномочия  мэра Тулунского муниципального района Иркутской области  №01-24/1172 от 30.03.2025г.), т.е. с соблюдением срока, предусмотренного п.3 ст. 264.4 Бюджетного кодекса РФ. </w:t>
      </w:r>
    </w:p>
    <w:p>
      <w:pPr>
        <w:pStyle w:val="Normal"/>
        <w:tabs>
          <w:tab w:val="clear" w:pos="720"/>
          <w:tab w:val="left" w:pos="709" w:leader="none"/>
          <w:tab w:val="left" w:pos="1080" w:leader="none"/>
        </w:tabs>
        <w:ind w:firstLine="180" w:right="176"/>
        <w:rPr>
          <w:sz w:val="25"/>
          <w:szCs w:val="25"/>
        </w:rPr>
      </w:pPr>
      <w:r>
        <w:rPr>
          <w:sz w:val="25"/>
          <w:szCs w:val="25"/>
        </w:rPr>
        <w:t xml:space="preserve">     </w:t>
      </w:r>
      <w:r>
        <w:rPr>
          <w:sz w:val="25"/>
          <w:szCs w:val="25"/>
        </w:rPr>
        <w:t xml:space="preserve">При  составлении, рассмотрении, утверждении и исполнении бюджета района в 2025 году Дума Тулунского муниципального района, мэр Тулунского муниципального района, администрация Тулунского муниципального района руководствовались Бюджетным кодексом РФ, федеральным и областным бюджетным законодательством, Уставом Тулунского муниципального района, Положением о бюджетном процессе в муниципальном образовании «Тулунский район», муниципальными правовыми актами органов местного самоуправления.  </w:t>
      </w:r>
    </w:p>
    <w:p>
      <w:pPr>
        <w:pStyle w:val="Normal"/>
        <w:tabs>
          <w:tab w:val="clear" w:pos="720"/>
          <w:tab w:val="left" w:pos="709" w:leader="none"/>
          <w:tab w:val="left" w:pos="1080" w:leader="none"/>
        </w:tabs>
        <w:rPr/>
      </w:pPr>
      <w:r>
        <w:rPr>
          <w:sz w:val="25"/>
          <w:szCs w:val="25"/>
        </w:rPr>
        <w:t xml:space="preserve">Составление проекта бюджета Тулунского муниципального района на </w:t>
      </w:r>
      <w:r>
        <w:rPr>
          <w:sz w:val="25"/>
          <w:szCs w:val="25"/>
          <w:shd w:fill="FFFFFF" w:val="clear"/>
        </w:rPr>
        <w:t>2025</w:t>
      </w:r>
      <w:r>
        <w:rPr>
          <w:sz w:val="25"/>
          <w:szCs w:val="25"/>
        </w:rPr>
        <w:t xml:space="preserve"> год и на плановый период 2026 и 2027 годов основывалось на приоритетах, определенных</w:t>
      </w:r>
      <w:r>
        <w:rPr>
          <w:b/>
          <w:sz w:val="25"/>
          <w:szCs w:val="25"/>
        </w:rPr>
        <w:t xml:space="preserve"> </w:t>
      </w:r>
      <w:r>
        <w:rPr>
          <w:sz w:val="25"/>
          <w:szCs w:val="25"/>
        </w:rPr>
        <w:t>основными направлениями бюджетной и налоговой политики муниципального образования «Тулунский район» на 2025 год и плановый период 2026 и 2027 годов, утвержденных постановлением администрации Тулунского муниципального района от 30.09.2024г. №150-пг., муниципальных программ Тулунского района (проектов изменений в муниципальные программы Тулунского района) и иных документов стратегического планирования.</w:t>
      </w:r>
    </w:p>
    <w:p>
      <w:pPr>
        <w:pStyle w:val="Normal"/>
        <w:tabs>
          <w:tab w:val="clear" w:pos="720"/>
          <w:tab w:val="left" w:pos="709" w:leader="none"/>
          <w:tab w:val="left" w:pos="1080" w:leader="none"/>
        </w:tabs>
        <w:rPr>
          <w:sz w:val="25"/>
          <w:szCs w:val="25"/>
        </w:rPr>
      </w:pPr>
      <w:r>
        <w:rPr>
          <w:sz w:val="25"/>
          <w:szCs w:val="25"/>
        </w:rPr>
        <w:t xml:space="preserve">Порядок составления, рассмотрения проекта бюджета Тулунского муниципального района, утверждения, исполнения и осуществления контроля за исполнением бюджета муниципального образования «Тулунский район» установлен Положением о бюджетном процессе в муниципальном образовании «Тулунский район», утвержденным решением Думы Тулунского муниципального района от 24.12.2019г. №100 (с изменениями). </w:t>
      </w:r>
    </w:p>
    <w:p>
      <w:pPr>
        <w:pStyle w:val="Normal"/>
        <w:tabs>
          <w:tab w:val="clear" w:pos="720"/>
          <w:tab w:val="left" w:pos="709" w:leader="none"/>
          <w:tab w:val="left" w:pos="1080" w:leader="none"/>
        </w:tabs>
        <w:ind w:firstLine="397" w:right="170"/>
        <w:rPr>
          <w:sz w:val="25"/>
          <w:szCs w:val="25"/>
        </w:rPr>
      </w:pPr>
      <w:r>
        <w:rPr>
          <w:sz w:val="25"/>
          <w:szCs w:val="25"/>
        </w:rPr>
        <w:t xml:space="preserve"> </w:t>
      </w:r>
      <w:r>
        <w:rPr>
          <w:sz w:val="25"/>
          <w:szCs w:val="25"/>
        </w:rPr>
        <w:t>Порядок и методика планирования бюджетных ассигнований бюджета Тулунского муниципального района и бюджетов сельских поселений утверждены Приказом Комитета по финансам администрации Тулунского муниципального района от 15.07.2022г. № 87(о.д.) (в редакции от 05.04.2023г. №38(о.д.).</w:t>
      </w:r>
    </w:p>
    <w:p>
      <w:pPr>
        <w:pStyle w:val="Normal"/>
        <w:tabs>
          <w:tab w:val="clear" w:pos="720"/>
          <w:tab w:val="left" w:pos="709" w:leader="none"/>
          <w:tab w:val="left" w:pos="1080" w:leader="none"/>
        </w:tabs>
        <w:ind w:firstLine="113" w:right="170"/>
        <w:rPr/>
      </w:pPr>
      <w:r>
        <w:rPr>
          <w:sz w:val="25"/>
          <w:szCs w:val="25"/>
        </w:rPr>
        <w:t xml:space="preserve">  </w:t>
      </w:r>
      <w:r>
        <w:rPr>
          <w:sz w:val="25"/>
          <w:szCs w:val="25"/>
        </w:rPr>
        <w:t>Порядок и сроки составления проекта бюджета района и проектов бюджетов сельских поселений на 2025 год и на плановый период 2026 и 2027 годов определены постановлением администрации Тулунского муниципального района от 29.05.2020г. №61-пг «Об утверждении Положения о порядке и сроках составления проекта бюджета Тулунского муниципального района и проектов бюджетов сельских поселений и о порядке работы над документами и материалами, предоставляемыми в Думу Тулунского муниципального района одновременно с проектом бюджета Тулунского муниципального района и в Думы сельских поселений одновременно с проектами бюджетов сельских поселений».</w:t>
      </w:r>
      <w:r>
        <w:rPr>
          <w:color w:val="F10D0C"/>
          <w:sz w:val="25"/>
          <w:szCs w:val="25"/>
        </w:rPr>
        <w:tab/>
      </w:r>
    </w:p>
    <w:p>
      <w:pPr>
        <w:pStyle w:val="Normal"/>
        <w:tabs>
          <w:tab w:val="clear" w:pos="720"/>
          <w:tab w:val="left" w:pos="709" w:leader="none"/>
          <w:tab w:val="left" w:pos="1080" w:leader="none"/>
        </w:tabs>
        <w:ind w:hanging="0" w:right="176"/>
        <w:rPr/>
      </w:pPr>
      <w:r>
        <w:rPr>
          <w:sz w:val="25"/>
          <w:szCs w:val="25"/>
        </w:rPr>
        <w:t xml:space="preserve">     </w:t>
      </w:r>
      <w:r>
        <w:rPr>
          <w:sz w:val="25"/>
          <w:szCs w:val="25"/>
        </w:rPr>
        <w:t>Первоначально бюджет Тулунского муниципального района на 2025 год  утвержден решением Думы Тулунского муниципального района от 24.12.2024г. № 121 «О бюджете Тулунского муниципального района на 2025 год и на плановый период 2026 и 2027 годов» по</w:t>
      </w:r>
      <w:r>
        <w:rPr>
          <w:color w:val="000000"/>
          <w:sz w:val="25"/>
          <w:szCs w:val="25"/>
        </w:rPr>
        <w:t xml:space="preserve"> доходам в сумме 2 108 694,7 тыс. руб., в том числе безвозмездные поступления в сумме 1 839 279,7 тыс. руб., из них межбюджетные трансферты из областного бюджета в сумме 1 744 818,6 тыс. руб., из бюджетов сельских поселений в сумме 94 461,1 тыс. руб.; по расходам в сумме 2 128 900,8 тыс. руб. с дефицитом в сумме 20 206,1 тыс. руб. или 7,5% утвержденного общего годового объема доходов местного бюджета без учета утвержденного объема безвозмездных поступлений.</w:t>
      </w:r>
    </w:p>
    <w:p>
      <w:pPr>
        <w:pStyle w:val="Normal"/>
        <w:tabs>
          <w:tab w:val="clear" w:pos="720"/>
          <w:tab w:val="left" w:pos="709" w:leader="none"/>
          <w:tab w:val="left" w:pos="1080" w:leader="none"/>
        </w:tabs>
        <w:ind w:firstLine="57" w:right="170"/>
        <w:rPr/>
      </w:pPr>
      <w:r>
        <w:rPr>
          <w:sz w:val="25"/>
          <w:szCs w:val="25"/>
        </w:rPr>
        <w:t xml:space="preserve">    </w:t>
      </w:r>
      <w:r>
        <w:rPr>
          <w:sz w:val="25"/>
          <w:szCs w:val="25"/>
        </w:rPr>
        <w:t xml:space="preserve">Установлен верхний предел муниципального долга по состоянию на 01.01.2026г. в размере </w:t>
      </w:r>
      <w:r>
        <w:rPr>
          <w:color w:val="000000"/>
          <w:sz w:val="25"/>
          <w:szCs w:val="25"/>
        </w:rPr>
        <w:t>25 239,1</w:t>
      </w:r>
      <w:r>
        <w:rPr>
          <w:sz w:val="25"/>
          <w:szCs w:val="25"/>
        </w:rPr>
        <w:t xml:space="preserve"> тыс. руб., в том числе верхний предел по муниципальным гарантиям 0 тыс. руб., что не превышает предельного размера, установленного пунктом 5 ст.107 БК РФ.</w:t>
      </w:r>
    </w:p>
    <w:p>
      <w:pPr>
        <w:pStyle w:val="Normal"/>
        <w:tabs>
          <w:tab w:val="clear" w:pos="720"/>
          <w:tab w:val="left" w:pos="709" w:leader="none"/>
          <w:tab w:val="left" w:pos="1080" w:leader="none"/>
        </w:tabs>
        <w:ind w:hanging="0" w:right="170"/>
        <w:rPr/>
      </w:pPr>
      <w:r>
        <w:rPr>
          <w:sz w:val="25"/>
          <w:szCs w:val="25"/>
        </w:rPr>
        <w:t xml:space="preserve">     </w:t>
      </w:r>
      <w:r>
        <w:rPr>
          <w:sz w:val="25"/>
          <w:szCs w:val="25"/>
        </w:rPr>
        <w:t>Резервный фонд утвержден в соответствии со ст.81 БК РФ в размере 1 000,0 тыс. руб. Порядок использования средств резервного фонда администрации Тулунского муниципального района установлен постановлением администрации Тулунского муниципального района от 18.09.2024г. №138-пг.</w:t>
      </w:r>
    </w:p>
    <w:p>
      <w:pPr>
        <w:pStyle w:val="Normal"/>
        <w:tabs>
          <w:tab w:val="clear" w:pos="720"/>
          <w:tab w:val="left" w:pos="709" w:leader="none"/>
          <w:tab w:val="left" w:pos="1080" w:leader="none"/>
        </w:tabs>
        <w:ind w:firstLine="57" w:right="170"/>
        <w:rPr/>
      </w:pPr>
      <w:r>
        <w:rPr>
          <w:sz w:val="25"/>
          <w:szCs w:val="25"/>
        </w:rPr>
        <w:t xml:space="preserve">     </w:t>
      </w:r>
      <w:r>
        <w:rPr>
          <w:sz w:val="25"/>
          <w:szCs w:val="25"/>
        </w:rPr>
        <w:t>В составе расходов районного бюджета на 2025 год утвержден объем дотаций на выравнивание бюджетной обеспеченности сельских поселений в сумме 301 414,1</w:t>
      </w:r>
      <w:r>
        <w:rPr>
          <w:color w:val="000000"/>
          <w:sz w:val="25"/>
          <w:szCs w:val="25"/>
        </w:rPr>
        <w:t xml:space="preserve"> </w:t>
      </w:r>
      <w:r>
        <w:rPr>
          <w:sz w:val="25"/>
          <w:szCs w:val="25"/>
        </w:rPr>
        <w:t>тыс. руб.</w:t>
      </w:r>
    </w:p>
    <w:p>
      <w:pPr>
        <w:pStyle w:val="Normal"/>
        <w:tabs>
          <w:tab w:val="clear" w:pos="720"/>
          <w:tab w:val="left" w:pos="709" w:leader="none"/>
          <w:tab w:val="left" w:pos="1080" w:leader="none"/>
        </w:tabs>
        <w:ind w:firstLine="113" w:right="170"/>
        <w:rPr/>
      </w:pPr>
      <w:r>
        <w:rPr>
          <w:sz w:val="25"/>
          <w:szCs w:val="25"/>
        </w:rPr>
        <w:t xml:space="preserve">      </w:t>
      </w:r>
      <w:r>
        <w:rPr>
          <w:sz w:val="25"/>
          <w:szCs w:val="25"/>
        </w:rPr>
        <w:t xml:space="preserve">Источники внутреннего финансирования дефицита бюджета определены в сумме </w:t>
      </w:r>
      <w:r>
        <w:rPr>
          <w:color w:val="000000"/>
          <w:sz w:val="25"/>
          <w:szCs w:val="25"/>
        </w:rPr>
        <w:t>20 206,1</w:t>
      </w:r>
      <w:r>
        <w:rPr>
          <w:sz w:val="25"/>
          <w:szCs w:val="25"/>
        </w:rPr>
        <w:t xml:space="preserve"> тыс. руб., в том числе получение кредитов от кредитных организаций – 21 883,7 тыс. руб., погашение кредитов – 1 667,7 тыс. руб., изменение остатков средств бюджета 0 тыс. руб. </w:t>
      </w:r>
    </w:p>
    <w:p>
      <w:pPr>
        <w:pStyle w:val="Normal"/>
        <w:tabs>
          <w:tab w:val="clear" w:pos="720"/>
          <w:tab w:val="left" w:pos="709" w:leader="none"/>
          <w:tab w:val="left" w:pos="1080" w:leader="none"/>
        </w:tabs>
        <w:ind w:firstLine="180" w:right="176"/>
        <w:rPr/>
      </w:pPr>
      <w:r>
        <w:rPr>
          <w:sz w:val="25"/>
          <w:szCs w:val="25"/>
        </w:rPr>
        <w:t xml:space="preserve">   </w:t>
      </w:r>
      <w:r>
        <w:rPr>
          <w:sz w:val="25"/>
          <w:szCs w:val="25"/>
        </w:rPr>
        <w:t>В последующем изменения в бюджет района вносились в течение года пять раз решениями Думы Тулунского муниципального района от 13.02.2025</w:t>
      </w:r>
      <w:r>
        <w:rPr>
          <w:color w:val="000000"/>
          <w:sz w:val="25"/>
          <w:szCs w:val="25"/>
        </w:rPr>
        <w:t>г. №140, от 28.02.2025г. №147, от 27.05.2025г. №176, от 28.10.2025г. №201, от 23.12.2025г №219.</w:t>
      </w:r>
    </w:p>
    <w:p>
      <w:pPr>
        <w:pStyle w:val="Normal"/>
        <w:tabs>
          <w:tab w:val="clear" w:pos="720"/>
          <w:tab w:val="left" w:pos="709" w:leader="none"/>
          <w:tab w:val="left" w:pos="1080" w:leader="none"/>
        </w:tabs>
        <w:rPr/>
      </w:pPr>
      <w:r>
        <w:rPr>
          <w:sz w:val="25"/>
          <w:szCs w:val="25"/>
        </w:rPr>
        <w:t xml:space="preserve">В окончательном варианте бюджет района на 2025 год утвержден  решением Думы Тулунского муниципального района </w:t>
      </w:r>
      <w:r>
        <w:rPr>
          <w:color w:val="000000"/>
          <w:sz w:val="25"/>
          <w:szCs w:val="25"/>
        </w:rPr>
        <w:t>от от 23.12.2025г. №219</w:t>
      </w:r>
      <w:r>
        <w:rPr>
          <w:sz w:val="25"/>
          <w:szCs w:val="25"/>
        </w:rPr>
        <w:t xml:space="preserve"> по доходам </w:t>
      </w:r>
      <w:r>
        <w:rPr>
          <w:color w:val="000000"/>
          <w:sz w:val="25"/>
          <w:szCs w:val="25"/>
        </w:rPr>
        <w:t>в сумме 2 226 315,3 тыс. руб., в том числе безвозмездные поступления в сумме 1 905 523,2 тыс. руб., из них межбюджетные трансферты из областного бюджета в сумме 1 800 480,7 тыс. руб., из бюджетов сельских поселений в сумме 104 986,2 тыс. руб.; по расходам в сумме 2 251 771,1 тыс. руб. с дефицитом в сумме 25 455,8 тыс. руб. или 7,9 % утвержденного общего годового объема доходов местного бюджета без учета утвержденного объема безвозмездных поступлений.</w:t>
      </w:r>
    </w:p>
    <w:p>
      <w:pPr>
        <w:pStyle w:val="Normal"/>
        <w:tabs>
          <w:tab w:val="clear" w:pos="720"/>
          <w:tab w:val="left" w:pos="709" w:leader="none"/>
          <w:tab w:val="left" w:pos="1080" w:leader="none"/>
        </w:tabs>
        <w:rPr/>
      </w:pPr>
      <w:r>
        <w:rPr>
          <w:sz w:val="25"/>
          <w:szCs w:val="25"/>
        </w:rPr>
        <w:t xml:space="preserve">Объем дотаций на выравнивание бюджетной обеспеченности сельских поселений утвержден в сумме 301 414,1  тыс. руб. </w:t>
      </w:r>
    </w:p>
    <w:p>
      <w:pPr>
        <w:pStyle w:val="Normal"/>
        <w:tabs>
          <w:tab w:val="clear" w:pos="720"/>
          <w:tab w:val="left" w:pos="709" w:leader="none"/>
          <w:tab w:val="left" w:pos="1080" w:leader="none"/>
        </w:tabs>
        <w:ind w:firstLine="180" w:right="176"/>
        <w:rPr/>
      </w:pPr>
      <w:r>
        <w:rPr>
          <w:sz w:val="25"/>
          <w:szCs w:val="25"/>
        </w:rPr>
        <w:t xml:space="preserve">     </w:t>
      </w:r>
      <w:r>
        <w:rPr>
          <w:sz w:val="25"/>
          <w:szCs w:val="25"/>
        </w:rPr>
        <w:t>Утвержден верхний предел муниципального долга по состоянию на 1 января 2026г. в размере 26 739,1тыс. руб., по муниципальным гарантиям 0 тыс. руб., что соответствует требованиям  ст.107 БК РФ.</w:t>
      </w:r>
    </w:p>
    <w:p>
      <w:pPr>
        <w:pStyle w:val="Normal"/>
        <w:tabs>
          <w:tab w:val="clear" w:pos="720"/>
          <w:tab w:val="left" w:pos="709" w:leader="none"/>
          <w:tab w:val="left" w:pos="1080" w:leader="none"/>
        </w:tabs>
        <w:ind w:firstLine="180" w:right="176"/>
        <w:rPr>
          <w:sz w:val="25"/>
          <w:szCs w:val="25"/>
        </w:rPr>
      </w:pPr>
      <w:r>
        <w:rPr>
          <w:sz w:val="25"/>
          <w:szCs w:val="25"/>
        </w:rPr>
        <w:t xml:space="preserve">    </w:t>
      </w:r>
      <w:r>
        <w:rPr>
          <w:sz w:val="25"/>
          <w:szCs w:val="25"/>
        </w:rPr>
        <w:t>Источники внутреннего финансирования дефицита бюджета определены в сумме 25 455,8 тыс. руб., в том числе получение кредитов от кредитных организаций – 6 671,0 тыс. руб., получение бюджетного кредита из областного бюджета — 15 035,0 тыс. руб.,  изменение остатков средств бюджета — 3 749,8 тыс. руб.</w:t>
      </w:r>
    </w:p>
    <w:p>
      <w:pPr>
        <w:pStyle w:val="Normal"/>
        <w:tabs>
          <w:tab w:val="clear" w:pos="720"/>
          <w:tab w:val="left" w:pos="709" w:leader="none"/>
          <w:tab w:val="left" w:pos="1080" w:leader="none"/>
        </w:tabs>
        <w:ind w:firstLine="180" w:right="176"/>
        <w:rPr>
          <w:sz w:val="25"/>
          <w:szCs w:val="25"/>
        </w:rPr>
      </w:pPr>
      <w:r>
        <w:rPr>
          <w:sz w:val="25"/>
          <w:szCs w:val="25"/>
        </w:rPr>
      </w:r>
    </w:p>
    <w:p>
      <w:pPr>
        <w:pStyle w:val="Normal"/>
        <w:ind w:firstLine="709" w:right="176"/>
        <w:jc w:val="center"/>
        <w:rPr/>
      </w:pPr>
      <w:r>
        <w:rPr>
          <w:b/>
          <w:sz w:val="25"/>
          <w:szCs w:val="25"/>
        </w:rPr>
        <w:t>3. Общая характ</w:t>
      </w:r>
      <w:r>
        <w:rPr>
          <w:b/>
          <w:sz w:val="25"/>
          <w:szCs w:val="25"/>
          <w:shd w:fill="FFFFFF" w:val="clear"/>
        </w:rPr>
        <w:t>еристика исполнения местного бюджета</w:t>
      </w:r>
    </w:p>
    <w:p>
      <w:pPr>
        <w:pStyle w:val="Normal"/>
        <w:ind w:firstLine="709" w:right="176"/>
        <w:jc w:val="center"/>
        <w:rPr>
          <w:b/>
          <w:sz w:val="25"/>
          <w:szCs w:val="25"/>
          <w:shd w:fill="FFFFFF" w:val="clear"/>
        </w:rPr>
      </w:pPr>
      <w:r>
        <w:rPr>
          <w:b/>
          <w:sz w:val="25"/>
          <w:szCs w:val="25"/>
          <w:shd w:fill="FFFFFF" w:val="clear"/>
        </w:rPr>
        <w:t>за 2025 год.</w:t>
      </w:r>
    </w:p>
    <w:p>
      <w:pPr>
        <w:pStyle w:val="Normal"/>
        <w:ind w:firstLine="709" w:right="176"/>
        <w:jc w:val="center"/>
        <w:rPr>
          <w:b/>
          <w:sz w:val="25"/>
          <w:szCs w:val="25"/>
          <w:shd w:fill="FFFFFF" w:val="clear"/>
        </w:rPr>
      </w:pPr>
      <w:r>
        <w:rPr>
          <w:b/>
          <w:sz w:val="25"/>
          <w:szCs w:val="25"/>
          <w:shd w:fill="FFFFFF" w:val="clear"/>
        </w:rPr>
      </w:r>
    </w:p>
    <w:p>
      <w:pPr>
        <w:pStyle w:val="Normal"/>
        <w:tabs>
          <w:tab w:val="clear" w:pos="720"/>
          <w:tab w:val="left" w:pos="709" w:leader="none"/>
          <w:tab w:val="left" w:pos="1080" w:leader="none"/>
        </w:tabs>
        <w:ind w:firstLine="180" w:right="176"/>
        <w:rPr>
          <w:sz w:val="25"/>
          <w:szCs w:val="25"/>
        </w:rPr>
      </w:pPr>
      <w:r>
        <w:rPr>
          <w:sz w:val="25"/>
          <w:szCs w:val="25"/>
        </w:rPr>
        <w:t xml:space="preserve">      </w:t>
      </w:r>
      <w:r>
        <w:rPr>
          <w:sz w:val="25"/>
          <w:szCs w:val="25"/>
        </w:rPr>
        <w:tab/>
        <w:t xml:space="preserve">Исполнение бюджета района в 2025 году по основным его показателям и изменение плановых бюджетных назначений бюджета района в окончательной редакции по сравнению с первоначальной,  представлено в следующей таблице:         </w:t>
      </w:r>
    </w:p>
    <w:p>
      <w:pPr>
        <w:pStyle w:val="Normal"/>
        <w:tabs>
          <w:tab w:val="clear" w:pos="720"/>
          <w:tab w:val="left" w:pos="709" w:leader="none"/>
          <w:tab w:val="left" w:pos="1080" w:leader="none"/>
        </w:tabs>
        <w:ind w:firstLine="180" w:right="176"/>
        <w:rPr>
          <w:sz w:val="25"/>
          <w:szCs w:val="25"/>
        </w:rPr>
      </w:pPr>
      <w:r>
        <w:rPr>
          <w:sz w:val="25"/>
          <w:szCs w:val="25"/>
        </w:rPr>
        <w:t xml:space="preserve">                                                                                                                            </w:t>
      </w:r>
    </w:p>
    <w:p>
      <w:pPr>
        <w:pStyle w:val="Normal"/>
        <w:tabs>
          <w:tab w:val="clear" w:pos="720"/>
          <w:tab w:val="left" w:pos="709" w:leader="none"/>
          <w:tab w:val="left" w:pos="1080" w:leader="none"/>
        </w:tabs>
        <w:ind w:firstLine="180" w:right="176"/>
        <w:jc w:val="right"/>
        <w:rPr>
          <w:sz w:val="25"/>
          <w:szCs w:val="25"/>
        </w:rPr>
      </w:pPr>
      <w:r>
        <w:rPr>
          <w:sz w:val="25"/>
          <w:szCs w:val="25"/>
        </w:rPr>
        <w:t xml:space="preserve">       </w:t>
      </w:r>
      <w:r>
        <w:rPr>
          <w:sz w:val="25"/>
          <w:szCs w:val="25"/>
        </w:rPr>
        <w:t xml:space="preserve">( тыс. руб.)  </w:t>
      </w:r>
    </w:p>
    <w:tbl>
      <w:tblPr>
        <w:tblW w:w="9643" w:type="dxa"/>
        <w:jc w:val="left"/>
        <w:tblInd w:w="-115" w:type="dxa"/>
        <w:tblLayout w:type="fixed"/>
        <w:tblCellMar>
          <w:top w:w="0" w:type="dxa"/>
          <w:left w:w="5" w:type="dxa"/>
          <w:bottom w:w="0" w:type="dxa"/>
          <w:right w:w="103" w:type="dxa"/>
        </w:tblCellMar>
        <w:tblLook w:firstRow="1" w:noVBand="1" w:lastRow="0" w:firstColumn="1" w:lastColumn="0" w:noHBand="0" w:val="04a0"/>
      </w:tblPr>
      <w:tblGrid>
        <w:gridCol w:w="1235"/>
        <w:gridCol w:w="1087"/>
        <w:gridCol w:w="1136"/>
        <w:gridCol w:w="1191"/>
        <w:gridCol w:w="1019"/>
        <w:gridCol w:w="1138"/>
        <w:gridCol w:w="1135"/>
        <w:gridCol w:w="965"/>
        <w:gridCol w:w="736"/>
      </w:tblGrid>
      <w:tr>
        <w:trPr>
          <w:trHeight w:val="2893" w:hRule="atLeast"/>
        </w:trPr>
        <w:tc>
          <w:tcPr>
            <w:tcW w:w="12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18"/>
                <w:szCs w:val="18"/>
              </w:rPr>
            </w:pPr>
            <w:r>
              <w:rPr>
                <w:sz w:val="18"/>
                <w:szCs w:val="18"/>
              </w:rPr>
            </w:r>
          </w:p>
        </w:tc>
        <w:tc>
          <w:tcPr>
            <w:tcW w:w="1087"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t>Первоначальный бюджет на 2025г   (решение от 24.12.</w:t>
            </w:r>
          </w:p>
          <w:p>
            <w:pPr>
              <w:pStyle w:val="Normal"/>
              <w:widowControl w:val="false"/>
              <w:tabs>
                <w:tab w:val="clear" w:pos="720"/>
                <w:tab w:val="left" w:pos="709" w:leader="none"/>
                <w:tab w:val="left" w:pos="1080" w:leader="none"/>
              </w:tabs>
              <w:ind w:hanging="0" w:right="176"/>
              <w:jc w:val="center"/>
              <w:rPr>
                <w:sz w:val="18"/>
                <w:szCs w:val="18"/>
              </w:rPr>
            </w:pPr>
            <w:r>
              <w:rPr>
                <w:sz w:val="18"/>
                <w:szCs w:val="18"/>
              </w:rPr>
              <w:t>2024г.№ 121)</w:t>
            </w:r>
          </w:p>
        </w:tc>
        <w:tc>
          <w:tcPr>
            <w:tcW w:w="1136"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t xml:space="preserve"> </w:t>
            </w:r>
            <w:r>
              <w:rPr>
                <w:sz w:val="18"/>
                <w:szCs w:val="18"/>
              </w:rPr>
              <w:t>Бюджет на 2025г в редакции решения Думы от 23.12.</w:t>
            </w:r>
          </w:p>
          <w:p>
            <w:pPr>
              <w:pStyle w:val="Normal"/>
              <w:widowControl w:val="false"/>
              <w:tabs>
                <w:tab w:val="clear" w:pos="720"/>
                <w:tab w:val="left" w:pos="709" w:leader="none"/>
                <w:tab w:val="left" w:pos="1080" w:leader="none"/>
              </w:tabs>
              <w:ind w:hanging="0" w:right="176"/>
              <w:jc w:val="center"/>
              <w:rPr>
                <w:sz w:val="18"/>
                <w:szCs w:val="18"/>
              </w:rPr>
            </w:pPr>
            <w:r>
              <w:rPr>
                <w:sz w:val="18"/>
                <w:szCs w:val="18"/>
              </w:rPr>
              <w:t>2025г. №219</w:t>
            </w:r>
          </w:p>
        </w:tc>
        <w:tc>
          <w:tcPr>
            <w:tcW w:w="1191"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18"/>
                <w:szCs w:val="18"/>
              </w:rPr>
            </w:pPr>
            <w:r>
              <w:rPr>
                <w:sz w:val="18"/>
                <w:szCs w:val="18"/>
              </w:rPr>
              <w:t>Окончательный  бюджет на 2025г. по сводной бюджетной росписи     и кассовому плану (приказ от 24.12.2025 №178(од), приказ  от 25.12.2025г № 181(од)</w:t>
            </w:r>
          </w:p>
        </w:tc>
        <w:tc>
          <w:tcPr>
            <w:tcW w:w="1019" w:type="dxa"/>
            <w:tcBorders>
              <w:top w:val="single" w:sz="4" w:space="0" w:color="00000A"/>
              <w:left w:val="single" w:sz="4" w:space="0" w:color="00000A"/>
              <w:bottom w:val="single" w:sz="4" w:space="0" w:color="00000A"/>
            </w:tcBorders>
          </w:tcPr>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t>Откл.(гр.4-гр.3)</w:t>
            </w:r>
          </w:p>
        </w:tc>
        <w:tc>
          <w:tcPr>
            <w:tcW w:w="1138"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t>Факт     2025г.</w:t>
            </w:r>
          </w:p>
        </w:tc>
        <w:tc>
          <w:tcPr>
            <w:tcW w:w="11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t>Откл.(гр.4- гр.2)</w:t>
            </w:r>
          </w:p>
        </w:tc>
        <w:tc>
          <w:tcPr>
            <w:tcW w:w="96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t>Откл</w:t>
            </w:r>
          </w:p>
          <w:p>
            <w:pPr>
              <w:pStyle w:val="Normal"/>
              <w:widowControl w:val="false"/>
              <w:tabs>
                <w:tab w:val="clear" w:pos="720"/>
                <w:tab w:val="left" w:pos="709" w:leader="none"/>
                <w:tab w:val="left" w:pos="1080" w:leader="none"/>
              </w:tabs>
              <w:ind w:hanging="0" w:right="176"/>
              <w:jc w:val="center"/>
              <w:rPr>
                <w:sz w:val="18"/>
                <w:szCs w:val="18"/>
              </w:rPr>
            </w:pPr>
            <w:r>
              <w:rPr>
                <w:sz w:val="18"/>
                <w:szCs w:val="18"/>
              </w:rPr>
              <w:t>(гр.6-гр.4)</w:t>
            </w:r>
          </w:p>
        </w:tc>
        <w:tc>
          <w:tcPr>
            <w:tcW w:w="736"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r>
          </w:p>
          <w:p>
            <w:pPr>
              <w:pStyle w:val="Normal"/>
              <w:widowControl w:val="false"/>
              <w:tabs>
                <w:tab w:val="clear" w:pos="720"/>
                <w:tab w:val="left" w:pos="709" w:leader="none"/>
                <w:tab w:val="left" w:pos="1080" w:leader="none"/>
              </w:tabs>
              <w:ind w:hanging="0" w:right="176"/>
              <w:jc w:val="center"/>
              <w:rPr>
                <w:sz w:val="18"/>
                <w:szCs w:val="18"/>
              </w:rPr>
            </w:pPr>
            <w:r>
              <w:rPr>
                <w:sz w:val="18"/>
                <w:szCs w:val="18"/>
              </w:rPr>
              <w:t>%</w:t>
            </w:r>
          </w:p>
          <w:p>
            <w:pPr>
              <w:pStyle w:val="Normal"/>
              <w:widowControl w:val="false"/>
              <w:tabs>
                <w:tab w:val="clear" w:pos="720"/>
                <w:tab w:val="left" w:pos="709" w:leader="none"/>
                <w:tab w:val="left" w:pos="1080" w:leader="none"/>
              </w:tabs>
              <w:ind w:hanging="0" w:right="176"/>
              <w:jc w:val="center"/>
              <w:rPr>
                <w:sz w:val="18"/>
                <w:szCs w:val="18"/>
              </w:rPr>
            </w:pPr>
            <w:r>
              <w:rPr>
                <w:sz w:val="18"/>
                <w:szCs w:val="18"/>
              </w:rPr>
              <w:t>(гр6:гр4х100)</w:t>
            </w:r>
          </w:p>
        </w:tc>
      </w:tr>
      <w:tr>
        <w:trPr>
          <w:trHeight w:val="329" w:hRule="atLeast"/>
        </w:trPr>
        <w:tc>
          <w:tcPr>
            <w:tcW w:w="12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1</w:t>
            </w:r>
          </w:p>
        </w:tc>
        <w:tc>
          <w:tcPr>
            <w:tcW w:w="1087"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2</w:t>
            </w:r>
          </w:p>
        </w:tc>
        <w:tc>
          <w:tcPr>
            <w:tcW w:w="1136"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3</w:t>
            </w:r>
          </w:p>
        </w:tc>
        <w:tc>
          <w:tcPr>
            <w:tcW w:w="1191"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4</w:t>
            </w:r>
          </w:p>
        </w:tc>
        <w:tc>
          <w:tcPr>
            <w:tcW w:w="1019" w:type="dxa"/>
            <w:tcBorders>
              <w:top w:val="single" w:sz="4" w:space="0" w:color="00000A"/>
              <w:left w:val="single" w:sz="4" w:space="0" w:color="00000A"/>
              <w:bottom w:val="single" w:sz="4" w:space="0" w:color="00000A"/>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5</w:t>
            </w:r>
          </w:p>
        </w:tc>
        <w:tc>
          <w:tcPr>
            <w:tcW w:w="1138"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6</w:t>
            </w:r>
          </w:p>
        </w:tc>
        <w:tc>
          <w:tcPr>
            <w:tcW w:w="11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7</w:t>
            </w:r>
          </w:p>
        </w:tc>
        <w:tc>
          <w:tcPr>
            <w:tcW w:w="96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8</w:t>
            </w:r>
          </w:p>
        </w:tc>
        <w:tc>
          <w:tcPr>
            <w:tcW w:w="736"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742" w:leader="none"/>
              </w:tabs>
              <w:ind w:firstLine="108" w:left="-108" w:right="8822"/>
              <w:jc w:val="center"/>
              <w:rPr>
                <w:sz w:val="20"/>
                <w:szCs w:val="20"/>
                <w:shd w:fill="FFFF00" w:val="clear"/>
              </w:rPr>
            </w:pPr>
            <w:r>
              <w:rPr>
                <w:sz w:val="20"/>
                <w:szCs w:val="20"/>
                <w:shd w:fill="FFFF00" w:val="clear"/>
              </w:rPr>
              <w:t>8</w:t>
            </w:r>
          </w:p>
        </w:tc>
      </w:tr>
      <w:tr>
        <w:trPr>
          <w:trHeight w:val="1586" w:hRule="atLeast"/>
        </w:trPr>
        <w:tc>
          <w:tcPr>
            <w:tcW w:w="12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b/>
                <w:sz w:val="20"/>
                <w:szCs w:val="20"/>
              </w:rPr>
            </w:pPr>
            <w:r>
              <w:rPr>
                <w:b/>
                <w:sz w:val="20"/>
                <w:szCs w:val="20"/>
              </w:rPr>
            </w:r>
          </w:p>
          <w:p>
            <w:pPr>
              <w:pStyle w:val="Normal"/>
              <w:widowControl w:val="false"/>
              <w:tabs>
                <w:tab w:val="clear" w:pos="720"/>
                <w:tab w:val="left" w:pos="709" w:leader="none"/>
                <w:tab w:val="left" w:pos="1080" w:leader="none"/>
              </w:tabs>
              <w:ind w:hanging="0" w:right="176"/>
              <w:jc w:val="center"/>
              <w:rPr>
                <w:b/>
                <w:sz w:val="20"/>
                <w:szCs w:val="20"/>
              </w:rPr>
            </w:pPr>
            <w:r>
              <w:rPr>
                <w:b/>
                <w:sz w:val="20"/>
                <w:szCs w:val="20"/>
              </w:rPr>
              <w:t>Всего доходов</w:t>
            </w:r>
          </w:p>
          <w:p>
            <w:pPr>
              <w:pStyle w:val="Normal"/>
              <w:widowControl w:val="false"/>
              <w:tabs>
                <w:tab w:val="clear" w:pos="720"/>
                <w:tab w:val="left" w:pos="709" w:leader="none"/>
                <w:tab w:val="left" w:pos="1080" w:leader="none"/>
              </w:tabs>
              <w:ind w:hanging="0" w:right="176"/>
              <w:jc w:val="center"/>
              <w:rPr>
                <w:sz w:val="20"/>
                <w:szCs w:val="20"/>
              </w:rPr>
            </w:pPr>
            <w:r>
              <w:rPr>
                <w:sz w:val="20"/>
                <w:szCs w:val="20"/>
              </w:rPr>
              <w:t xml:space="preserve"> </w:t>
            </w:r>
            <w:r>
              <w:rPr>
                <w:sz w:val="20"/>
                <w:szCs w:val="20"/>
              </w:rPr>
              <w:t>в том числе:</w:t>
            </w:r>
          </w:p>
        </w:tc>
        <w:tc>
          <w:tcPr>
            <w:tcW w:w="1087"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r>
          </w:p>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r>
          </w:p>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t>2 108 694,7</w:t>
            </w:r>
          </w:p>
        </w:tc>
        <w:tc>
          <w:tcPr>
            <w:tcW w:w="1136"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b/>
                <w:bCs/>
                <w:sz w:val="16"/>
                <w:szCs w:val="16"/>
              </w:rPr>
            </w:pPr>
            <w:r>
              <w:rPr>
                <w:b/>
                <w:bCs/>
                <w:sz w:val="16"/>
                <w:szCs w:val="16"/>
              </w:rPr>
            </w:r>
          </w:p>
          <w:p>
            <w:pPr>
              <w:pStyle w:val="Normal"/>
              <w:widowControl w:val="false"/>
              <w:ind w:hanging="0" w:right="176"/>
              <w:jc w:val="left"/>
              <w:rPr>
                <w:b/>
                <w:bCs/>
                <w:sz w:val="16"/>
                <w:szCs w:val="16"/>
              </w:rPr>
            </w:pPr>
            <w:r>
              <w:rPr>
                <w:b/>
                <w:bCs/>
                <w:sz w:val="16"/>
                <w:szCs w:val="16"/>
              </w:rPr>
            </w:r>
          </w:p>
          <w:p>
            <w:pPr>
              <w:pStyle w:val="Normal"/>
              <w:widowControl w:val="false"/>
              <w:ind w:hanging="0" w:right="176"/>
              <w:jc w:val="left"/>
              <w:rPr>
                <w:b/>
                <w:bCs/>
                <w:sz w:val="16"/>
                <w:szCs w:val="16"/>
              </w:rPr>
            </w:pPr>
            <w:r>
              <w:rPr>
                <w:b/>
                <w:bCs/>
                <w:sz w:val="16"/>
                <w:szCs w:val="16"/>
              </w:rPr>
              <w:t>2 226 315,3</w:t>
            </w:r>
          </w:p>
        </w:tc>
        <w:tc>
          <w:tcPr>
            <w:tcW w:w="1191"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b/>
                <w:bCs/>
                <w:sz w:val="16"/>
                <w:szCs w:val="16"/>
              </w:rPr>
            </w:pPr>
            <w:r>
              <w:rPr>
                <w:b/>
                <w:bCs/>
                <w:sz w:val="16"/>
                <w:szCs w:val="16"/>
              </w:rPr>
            </w:r>
          </w:p>
          <w:p>
            <w:pPr>
              <w:pStyle w:val="Normal"/>
              <w:widowControl w:val="false"/>
              <w:ind w:hanging="0" w:right="176"/>
              <w:jc w:val="left"/>
              <w:rPr>
                <w:b/>
                <w:bCs/>
                <w:sz w:val="16"/>
                <w:szCs w:val="16"/>
              </w:rPr>
            </w:pPr>
            <w:r>
              <w:rPr>
                <w:b/>
                <w:bCs/>
                <w:sz w:val="16"/>
                <w:szCs w:val="16"/>
              </w:rPr>
            </w:r>
          </w:p>
          <w:p>
            <w:pPr>
              <w:pStyle w:val="Normal"/>
              <w:widowControl w:val="false"/>
              <w:ind w:hanging="0" w:right="176"/>
              <w:jc w:val="left"/>
              <w:rPr>
                <w:b/>
                <w:bCs/>
                <w:sz w:val="16"/>
                <w:szCs w:val="16"/>
              </w:rPr>
            </w:pPr>
            <w:r>
              <w:rPr>
                <w:b/>
                <w:bCs/>
                <w:sz w:val="16"/>
                <w:szCs w:val="16"/>
              </w:rPr>
              <w:t>2 244 290,4</w:t>
            </w:r>
          </w:p>
        </w:tc>
        <w:tc>
          <w:tcPr>
            <w:tcW w:w="1019" w:type="dxa"/>
            <w:tcBorders>
              <w:top w:val="single" w:sz="4" w:space="0" w:color="00000A"/>
              <w:left w:val="single" w:sz="4" w:space="0" w:color="00000A"/>
              <w:bottom w:val="single" w:sz="4" w:space="0" w:color="00000A"/>
            </w:tcBorders>
          </w:tcPr>
          <w:p>
            <w:pPr>
              <w:pStyle w:val="Normal"/>
              <w:widowControl w:val="false"/>
              <w:ind w:hanging="0" w:right="176"/>
              <w:jc w:val="left"/>
              <w:rPr>
                <w:b/>
                <w:sz w:val="16"/>
                <w:szCs w:val="16"/>
              </w:rPr>
            </w:pPr>
            <w:r>
              <w:rPr>
                <w:b/>
                <w:sz w:val="16"/>
                <w:szCs w:val="16"/>
              </w:rPr>
            </w:r>
          </w:p>
          <w:p>
            <w:pPr>
              <w:pStyle w:val="Normal"/>
              <w:widowControl w:val="false"/>
              <w:ind w:hanging="0" w:right="176"/>
              <w:jc w:val="left"/>
              <w:rPr>
                <w:b/>
                <w:sz w:val="16"/>
                <w:szCs w:val="16"/>
              </w:rPr>
            </w:pPr>
            <w:r>
              <w:rPr>
                <w:b/>
                <w:sz w:val="16"/>
                <w:szCs w:val="16"/>
              </w:rPr>
            </w:r>
          </w:p>
          <w:p>
            <w:pPr>
              <w:pStyle w:val="Normal"/>
              <w:widowControl w:val="false"/>
              <w:ind w:hanging="0" w:right="176"/>
              <w:jc w:val="left"/>
              <w:rPr>
                <w:b/>
                <w:sz w:val="16"/>
                <w:szCs w:val="16"/>
              </w:rPr>
            </w:pPr>
            <w:r>
              <w:rPr>
                <w:b/>
                <w:sz w:val="16"/>
                <w:szCs w:val="16"/>
              </w:rPr>
              <w:t>+17 975,1</w:t>
            </w:r>
          </w:p>
        </w:tc>
        <w:tc>
          <w:tcPr>
            <w:tcW w:w="1138"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b/>
                <w:sz w:val="16"/>
                <w:szCs w:val="16"/>
              </w:rPr>
            </w:pPr>
            <w:r>
              <w:rPr>
                <w:b/>
                <w:sz w:val="16"/>
                <w:szCs w:val="16"/>
              </w:rPr>
            </w:r>
          </w:p>
          <w:p>
            <w:pPr>
              <w:pStyle w:val="Normal"/>
              <w:widowControl w:val="false"/>
              <w:ind w:hanging="0" w:right="176"/>
              <w:jc w:val="left"/>
              <w:rPr>
                <w:b/>
                <w:sz w:val="16"/>
                <w:szCs w:val="16"/>
              </w:rPr>
            </w:pPr>
            <w:r>
              <w:rPr>
                <w:b/>
                <w:sz w:val="16"/>
                <w:szCs w:val="16"/>
              </w:rPr>
            </w:r>
          </w:p>
          <w:p>
            <w:pPr>
              <w:pStyle w:val="Normal"/>
              <w:widowControl w:val="false"/>
              <w:ind w:hanging="0" w:right="176"/>
              <w:jc w:val="left"/>
              <w:rPr>
                <w:b/>
                <w:sz w:val="16"/>
                <w:szCs w:val="16"/>
              </w:rPr>
            </w:pPr>
            <w:r>
              <w:rPr>
                <w:b/>
                <w:sz w:val="16"/>
                <w:szCs w:val="16"/>
              </w:rPr>
              <w:t>2 242 918,3</w:t>
            </w:r>
          </w:p>
        </w:tc>
        <w:tc>
          <w:tcPr>
            <w:tcW w:w="11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r>
          </w:p>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r>
          </w:p>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t>+135 595,7</w:t>
            </w:r>
          </w:p>
        </w:tc>
        <w:tc>
          <w:tcPr>
            <w:tcW w:w="96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r>
          </w:p>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r>
          </w:p>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t>-1 372,1</w:t>
            </w:r>
          </w:p>
        </w:tc>
        <w:tc>
          <w:tcPr>
            <w:tcW w:w="736"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b/>
                <w:sz w:val="18"/>
                <w:szCs w:val="18"/>
              </w:rPr>
            </w:pPr>
            <w:r>
              <w:rPr>
                <w:b/>
                <w:sz w:val="18"/>
                <w:szCs w:val="18"/>
              </w:rPr>
            </w:r>
          </w:p>
          <w:p>
            <w:pPr>
              <w:pStyle w:val="Normal"/>
              <w:widowControl w:val="false"/>
              <w:ind w:hanging="0" w:right="176"/>
              <w:jc w:val="left"/>
              <w:rPr>
                <w:b/>
                <w:sz w:val="18"/>
                <w:szCs w:val="18"/>
              </w:rPr>
            </w:pPr>
            <w:r>
              <w:rPr>
                <w:b/>
                <w:sz w:val="18"/>
                <w:szCs w:val="18"/>
              </w:rPr>
            </w:r>
          </w:p>
          <w:p>
            <w:pPr>
              <w:pStyle w:val="Normal"/>
              <w:widowControl w:val="false"/>
              <w:ind w:hanging="0" w:right="176"/>
              <w:jc w:val="left"/>
              <w:rPr>
                <w:b/>
                <w:sz w:val="18"/>
                <w:szCs w:val="18"/>
              </w:rPr>
            </w:pPr>
            <w:r>
              <w:rPr>
                <w:b/>
                <w:sz w:val="18"/>
                <w:szCs w:val="18"/>
              </w:rPr>
              <w:t>99,9</w:t>
            </w:r>
          </w:p>
        </w:tc>
      </w:tr>
      <w:tr>
        <w:trPr/>
        <w:tc>
          <w:tcPr>
            <w:tcW w:w="12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Налоговые и неналоговые доходы</w:t>
            </w:r>
          </w:p>
        </w:tc>
        <w:tc>
          <w:tcPr>
            <w:tcW w:w="1087"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sz w:val="16"/>
                <w:szCs w:val="16"/>
              </w:rPr>
            </w:pPr>
            <w:r>
              <w:rPr>
                <w:sz w:val="16"/>
                <w:szCs w:val="16"/>
              </w:rPr>
            </w:r>
          </w:p>
          <w:p>
            <w:pPr>
              <w:pStyle w:val="Normal"/>
              <w:widowControl w:val="false"/>
              <w:tabs>
                <w:tab w:val="clear" w:pos="720"/>
                <w:tab w:val="left" w:pos="709" w:leader="none"/>
                <w:tab w:val="left" w:pos="1080" w:leader="none"/>
              </w:tabs>
              <w:ind w:hanging="0" w:right="176"/>
              <w:jc w:val="left"/>
              <w:rPr>
                <w:color w:val="1A1A1A"/>
                <w:sz w:val="16"/>
                <w:szCs w:val="16"/>
              </w:rPr>
            </w:pPr>
            <w:r>
              <w:rPr>
                <w:color w:val="1A1A1A"/>
                <w:sz w:val="16"/>
                <w:szCs w:val="16"/>
              </w:rPr>
              <w:t>269 415,0</w:t>
            </w:r>
          </w:p>
        </w:tc>
        <w:tc>
          <w:tcPr>
            <w:tcW w:w="1136"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color w:val="1A1A1A"/>
                <w:sz w:val="16"/>
                <w:szCs w:val="16"/>
              </w:rPr>
            </w:pPr>
            <w:r>
              <w:rPr>
                <w:color w:val="1A1A1A"/>
                <w:sz w:val="16"/>
                <w:szCs w:val="16"/>
              </w:rPr>
            </w:r>
          </w:p>
          <w:p>
            <w:pPr>
              <w:pStyle w:val="Normal"/>
              <w:widowControl w:val="false"/>
              <w:tabs>
                <w:tab w:val="clear" w:pos="720"/>
                <w:tab w:val="left" w:pos="709" w:leader="none"/>
                <w:tab w:val="left" w:pos="1080" w:leader="none"/>
              </w:tabs>
              <w:ind w:hanging="0" w:right="176"/>
              <w:jc w:val="left"/>
              <w:rPr>
                <w:color w:val="1A1A1A"/>
                <w:sz w:val="16"/>
                <w:szCs w:val="16"/>
              </w:rPr>
            </w:pPr>
            <w:r>
              <w:rPr>
                <w:color w:val="1A1A1A"/>
                <w:sz w:val="16"/>
                <w:szCs w:val="16"/>
              </w:rPr>
              <w:t>320 792,1</w:t>
            </w:r>
          </w:p>
        </w:tc>
        <w:tc>
          <w:tcPr>
            <w:tcW w:w="1191"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sz w:val="16"/>
                <w:szCs w:val="16"/>
              </w:rPr>
            </w:pPr>
            <w:r>
              <w:rPr>
                <w:sz w:val="16"/>
                <w:szCs w:val="16"/>
              </w:rPr>
            </w:r>
          </w:p>
          <w:p>
            <w:pPr>
              <w:pStyle w:val="Normal"/>
              <w:widowControl w:val="false"/>
              <w:ind w:hanging="0" w:right="176"/>
              <w:jc w:val="left"/>
              <w:rPr>
                <w:sz w:val="16"/>
                <w:szCs w:val="16"/>
              </w:rPr>
            </w:pPr>
            <w:r>
              <w:rPr>
                <w:sz w:val="16"/>
                <w:szCs w:val="16"/>
              </w:rPr>
              <w:t>320 792,1</w:t>
            </w:r>
          </w:p>
        </w:tc>
        <w:tc>
          <w:tcPr>
            <w:tcW w:w="1019" w:type="dxa"/>
            <w:tcBorders>
              <w:top w:val="single" w:sz="4" w:space="0" w:color="00000A"/>
              <w:left w:val="single" w:sz="4" w:space="0" w:color="00000A"/>
              <w:bottom w:val="single" w:sz="4" w:space="0" w:color="00000A"/>
            </w:tcBorders>
          </w:tcPr>
          <w:p>
            <w:pPr>
              <w:pStyle w:val="Normal"/>
              <w:widowControl w:val="false"/>
              <w:ind w:hanging="0" w:right="176"/>
              <w:jc w:val="left"/>
              <w:rPr>
                <w:sz w:val="16"/>
                <w:szCs w:val="16"/>
              </w:rPr>
            </w:pPr>
            <w:r>
              <w:rPr>
                <w:sz w:val="16"/>
                <w:szCs w:val="16"/>
              </w:rPr>
            </w:r>
          </w:p>
          <w:p>
            <w:pPr>
              <w:pStyle w:val="Normal"/>
              <w:widowControl w:val="false"/>
              <w:ind w:hanging="0" w:right="176"/>
              <w:jc w:val="left"/>
              <w:rPr>
                <w:sz w:val="16"/>
                <w:szCs w:val="16"/>
              </w:rPr>
            </w:pPr>
            <w:r>
              <w:rPr>
                <w:sz w:val="16"/>
                <w:szCs w:val="16"/>
              </w:rPr>
              <w:t>-</w:t>
            </w:r>
          </w:p>
        </w:tc>
        <w:tc>
          <w:tcPr>
            <w:tcW w:w="1138"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sz w:val="16"/>
                <w:szCs w:val="16"/>
              </w:rPr>
            </w:pPr>
            <w:r>
              <w:rPr>
                <w:sz w:val="16"/>
                <w:szCs w:val="16"/>
              </w:rPr>
            </w:r>
          </w:p>
          <w:p>
            <w:pPr>
              <w:pStyle w:val="Normal"/>
              <w:widowControl w:val="false"/>
              <w:ind w:hanging="0" w:right="176"/>
              <w:jc w:val="left"/>
              <w:rPr>
                <w:sz w:val="16"/>
                <w:szCs w:val="16"/>
              </w:rPr>
            </w:pPr>
            <w:r>
              <w:rPr>
                <w:sz w:val="16"/>
                <w:szCs w:val="16"/>
              </w:rPr>
              <w:t>334 511,9</w:t>
            </w:r>
          </w:p>
        </w:tc>
        <w:tc>
          <w:tcPr>
            <w:tcW w:w="11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sz w:val="16"/>
                <w:szCs w:val="16"/>
              </w:rPr>
            </w:pPr>
            <w:r>
              <w:rPr>
                <w:sz w:val="16"/>
                <w:szCs w:val="16"/>
              </w:rPr>
            </w:r>
          </w:p>
          <w:p>
            <w:pPr>
              <w:pStyle w:val="Normal"/>
              <w:widowControl w:val="false"/>
              <w:tabs>
                <w:tab w:val="clear" w:pos="720"/>
                <w:tab w:val="left" w:pos="709" w:leader="none"/>
                <w:tab w:val="left" w:pos="1080" w:leader="none"/>
              </w:tabs>
              <w:ind w:hanging="0" w:right="176"/>
              <w:jc w:val="left"/>
              <w:rPr>
                <w:sz w:val="16"/>
                <w:szCs w:val="16"/>
              </w:rPr>
            </w:pPr>
            <w:r>
              <w:rPr>
                <w:sz w:val="16"/>
                <w:szCs w:val="16"/>
              </w:rPr>
              <w:t>+65 096,9</w:t>
            </w:r>
          </w:p>
        </w:tc>
        <w:tc>
          <w:tcPr>
            <w:tcW w:w="96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sz w:val="16"/>
                <w:szCs w:val="16"/>
                <w:lang w:val="en-US"/>
              </w:rPr>
            </w:pPr>
            <w:r>
              <w:rPr>
                <w:sz w:val="16"/>
                <w:szCs w:val="16"/>
                <w:lang w:val="en-US"/>
              </w:rPr>
            </w:r>
          </w:p>
          <w:p>
            <w:pPr>
              <w:pStyle w:val="Normal"/>
              <w:widowControl w:val="false"/>
              <w:tabs>
                <w:tab w:val="clear" w:pos="720"/>
                <w:tab w:val="left" w:pos="709" w:leader="none"/>
                <w:tab w:val="left" w:pos="1080" w:leader="none"/>
              </w:tabs>
              <w:ind w:hanging="0" w:right="176"/>
              <w:jc w:val="left"/>
              <w:rPr>
                <w:sz w:val="16"/>
                <w:szCs w:val="16"/>
              </w:rPr>
            </w:pPr>
            <w:r>
              <w:rPr>
                <w:sz w:val="16"/>
                <w:szCs w:val="16"/>
              </w:rPr>
              <w:t>+13 719,8</w:t>
            </w:r>
          </w:p>
        </w:tc>
        <w:tc>
          <w:tcPr>
            <w:tcW w:w="736"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sz w:val="18"/>
                <w:szCs w:val="18"/>
              </w:rPr>
            </w:pPr>
            <w:r>
              <w:rPr>
                <w:sz w:val="18"/>
                <w:szCs w:val="18"/>
              </w:rPr>
            </w:r>
          </w:p>
          <w:p>
            <w:pPr>
              <w:pStyle w:val="Normal"/>
              <w:widowControl w:val="false"/>
              <w:ind w:hanging="0" w:right="176"/>
              <w:jc w:val="left"/>
              <w:rPr>
                <w:sz w:val="18"/>
                <w:szCs w:val="18"/>
              </w:rPr>
            </w:pPr>
            <w:r>
              <w:rPr>
                <w:sz w:val="18"/>
                <w:szCs w:val="18"/>
              </w:rPr>
              <w:t>104,3</w:t>
            </w:r>
          </w:p>
        </w:tc>
      </w:tr>
      <w:tr>
        <w:trPr/>
        <w:tc>
          <w:tcPr>
            <w:tcW w:w="12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sz w:val="20"/>
                <w:szCs w:val="20"/>
              </w:rPr>
            </w:pPr>
            <w:r>
              <w:rPr>
                <w:sz w:val="20"/>
                <w:szCs w:val="20"/>
              </w:rPr>
              <w:t>Безвозмездные поступления</w:t>
            </w:r>
          </w:p>
        </w:tc>
        <w:tc>
          <w:tcPr>
            <w:tcW w:w="1087"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sz w:val="16"/>
                <w:szCs w:val="16"/>
              </w:rPr>
            </w:pPr>
            <w:r>
              <w:rPr>
                <w:sz w:val="16"/>
                <w:szCs w:val="16"/>
              </w:rPr>
            </w:r>
          </w:p>
          <w:p>
            <w:pPr>
              <w:pStyle w:val="Normal"/>
              <w:widowControl w:val="false"/>
              <w:tabs>
                <w:tab w:val="clear" w:pos="720"/>
                <w:tab w:val="left" w:pos="709" w:leader="none"/>
                <w:tab w:val="left" w:pos="1080" w:leader="none"/>
              </w:tabs>
              <w:ind w:hanging="0" w:right="176"/>
              <w:jc w:val="left"/>
              <w:rPr>
                <w:color w:val="1A1A1A"/>
                <w:sz w:val="16"/>
                <w:szCs w:val="16"/>
              </w:rPr>
            </w:pPr>
            <w:r>
              <w:rPr>
                <w:color w:val="1A1A1A"/>
                <w:sz w:val="16"/>
                <w:szCs w:val="16"/>
              </w:rPr>
              <w:t>1 839 279,7</w:t>
            </w:r>
          </w:p>
        </w:tc>
        <w:tc>
          <w:tcPr>
            <w:tcW w:w="1136"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color w:val="1A1A1A"/>
                <w:sz w:val="16"/>
                <w:szCs w:val="16"/>
              </w:rPr>
            </w:pPr>
            <w:r>
              <w:rPr>
                <w:color w:val="1A1A1A"/>
                <w:sz w:val="16"/>
                <w:szCs w:val="16"/>
              </w:rPr>
            </w:r>
          </w:p>
          <w:p>
            <w:pPr>
              <w:pStyle w:val="Normal"/>
              <w:widowControl w:val="false"/>
              <w:tabs>
                <w:tab w:val="clear" w:pos="720"/>
                <w:tab w:val="left" w:pos="709" w:leader="none"/>
                <w:tab w:val="left" w:pos="1080" w:leader="none"/>
              </w:tabs>
              <w:ind w:hanging="0" w:right="176"/>
              <w:jc w:val="left"/>
              <w:rPr>
                <w:color w:val="1A1A1A"/>
                <w:sz w:val="16"/>
                <w:szCs w:val="16"/>
              </w:rPr>
            </w:pPr>
            <w:r>
              <w:rPr>
                <w:color w:val="1A1A1A"/>
                <w:sz w:val="16"/>
                <w:szCs w:val="16"/>
              </w:rPr>
              <w:t>1 905 523,2</w:t>
            </w:r>
          </w:p>
        </w:tc>
        <w:tc>
          <w:tcPr>
            <w:tcW w:w="1191"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sz w:val="16"/>
                <w:szCs w:val="16"/>
                <w:shd w:fill="FFFF00" w:val="clear"/>
              </w:rPr>
            </w:pPr>
            <w:r>
              <w:rPr>
                <w:sz w:val="16"/>
                <w:szCs w:val="16"/>
                <w:shd w:fill="FFFF00" w:val="clear"/>
              </w:rPr>
            </w:r>
          </w:p>
          <w:p>
            <w:pPr>
              <w:pStyle w:val="Normal"/>
              <w:widowControl w:val="false"/>
              <w:ind w:hanging="0" w:right="176"/>
              <w:jc w:val="left"/>
              <w:rPr>
                <w:sz w:val="16"/>
                <w:szCs w:val="16"/>
              </w:rPr>
            </w:pPr>
            <w:r>
              <w:rPr>
                <w:sz w:val="16"/>
                <w:szCs w:val="16"/>
              </w:rPr>
              <w:t>1 923 498,3</w:t>
            </w:r>
          </w:p>
        </w:tc>
        <w:tc>
          <w:tcPr>
            <w:tcW w:w="1019" w:type="dxa"/>
            <w:tcBorders>
              <w:top w:val="single" w:sz="4" w:space="0" w:color="00000A"/>
              <w:left w:val="single" w:sz="4" w:space="0" w:color="00000A"/>
              <w:bottom w:val="single" w:sz="4" w:space="0" w:color="00000A"/>
            </w:tcBorders>
          </w:tcPr>
          <w:p>
            <w:pPr>
              <w:pStyle w:val="Normal"/>
              <w:widowControl w:val="false"/>
              <w:ind w:hanging="0" w:right="176"/>
              <w:jc w:val="left"/>
              <w:rPr>
                <w:sz w:val="16"/>
                <w:szCs w:val="16"/>
              </w:rPr>
            </w:pPr>
            <w:r>
              <w:rPr>
                <w:sz w:val="16"/>
                <w:szCs w:val="16"/>
              </w:rPr>
            </w:r>
          </w:p>
          <w:p>
            <w:pPr>
              <w:pStyle w:val="Normal"/>
              <w:widowControl w:val="false"/>
              <w:ind w:hanging="0" w:right="176"/>
              <w:jc w:val="left"/>
              <w:rPr>
                <w:sz w:val="16"/>
                <w:szCs w:val="16"/>
              </w:rPr>
            </w:pPr>
            <w:r>
              <w:rPr>
                <w:sz w:val="16"/>
                <w:szCs w:val="16"/>
              </w:rPr>
              <w:t>+17 975,1</w:t>
            </w:r>
          </w:p>
        </w:tc>
        <w:tc>
          <w:tcPr>
            <w:tcW w:w="1138"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sz w:val="16"/>
                <w:szCs w:val="16"/>
              </w:rPr>
            </w:pPr>
            <w:r>
              <w:rPr>
                <w:sz w:val="16"/>
                <w:szCs w:val="16"/>
              </w:rPr>
            </w:r>
          </w:p>
          <w:p>
            <w:pPr>
              <w:pStyle w:val="Normal"/>
              <w:widowControl w:val="false"/>
              <w:ind w:hanging="0" w:right="176"/>
              <w:jc w:val="left"/>
              <w:rPr>
                <w:sz w:val="16"/>
                <w:szCs w:val="16"/>
              </w:rPr>
            </w:pPr>
            <w:r>
              <w:rPr>
                <w:sz w:val="16"/>
                <w:szCs w:val="16"/>
              </w:rPr>
              <w:t>1 908 406,4</w:t>
            </w:r>
          </w:p>
        </w:tc>
        <w:tc>
          <w:tcPr>
            <w:tcW w:w="11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sz w:val="16"/>
                <w:szCs w:val="16"/>
                <w:lang w:val="en-US"/>
              </w:rPr>
            </w:pPr>
            <w:r>
              <w:rPr>
                <w:sz w:val="16"/>
                <w:szCs w:val="16"/>
                <w:lang w:val="en-US"/>
              </w:rPr>
            </w:r>
          </w:p>
          <w:p>
            <w:pPr>
              <w:pStyle w:val="Normal"/>
              <w:widowControl w:val="false"/>
              <w:tabs>
                <w:tab w:val="clear" w:pos="720"/>
                <w:tab w:val="left" w:pos="709" w:leader="none"/>
                <w:tab w:val="left" w:pos="1080" w:leader="none"/>
              </w:tabs>
              <w:ind w:hanging="0" w:right="176"/>
              <w:jc w:val="left"/>
              <w:rPr>
                <w:sz w:val="16"/>
                <w:szCs w:val="16"/>
              </w:rPr>
            </w:pPr>
            <w:r>
              <w:rPr>
                <w:sz w:val="16"/>
                <w:szCs w:val="16"/>
              </w:rPr>
              <w:t>+84 218,6</w:t>
            </w:r>
          </w:p>
        </w:tc>
        <w:tc>
          <w:tcPr>
            <w:tcW w:w="96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sz w:val="16"/>
                <w:szCs w:val="16"/>
              </w:rPr>
            </w:pPr>
            <w:r>
              <w:rPr>
                <w:sz w:val="16"/>
                <w:szCs w:val="16"/>
              </w:rPr>
            </w:r>
          </w:p>
          <w:p>
            <w:pPr>
              <w:pStyle w:val="Normal"/>
              <w:widowControl w:val="false"/>
              <w:tabs>
                <w:tab w:val="clear" w:pos="720"/>
                <w:tab w:val="left" w:pos="709" w:leader="none"/>
                <w:tab w:val="left" w:pos="1080" w:leader="none"/>
              </w:tabs>
              <w:ind w:hanging="0" w:right="176"/>
              <w:jc w:val="left"/>
              <w:rPr>
                <w:sz w:val="16"/>
                <w:szCs w:val="16"/>
              </w:rPr>
            </w:pPr>
            <w:r>
              <w:rPr>
                <w:sz w:val="16"/>
                <w:szCs w:val="16"/>
                <w:lang w:val="en-US"/>
              </w:rPr>
              <w:t>-</w:t>
            </w:r>
            <w:r>
              <w:rPr>
                <w:sz w:val="16"/>
                <w:szCs w:val="16"/>
              </w:rPr>
              <w:t>15 091,9</w:t>
            </w:r>
          </w:p>
        </w:tc>
        <w:tc>
          <w:tcPr>
            <w:tcW w:w="736"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sz w:val="18"/>
                <w:szCs w:val="18"/>
              </w:rPr>
            </w:pPr>
            <w:r>
              <w:rPr>
                <w:sz w:val="18"/>
                <w:szCs w:val="18"/>
              </w:rPr>
            </w:r>
          </w:p>
          <w:p>
            <w:pPr>
              <w:pStyle w:val="Normal"/>
              <w:widowControl w:val="false"/>
              <w:ind w:hanging="0" w:right="176"/>
              <w:jc w:val="left"/>
              <w:rPr>
                <w:sz w:val="18"/>
                <w:szCs w:val="18"/>
              </w:rPr>
            </w:pPr>
            <w:r>
              <w:rPr>
                <w:sz w:val="18"/>
                <w:szCs w:val="18"/>
              </w:rPr>
              <w:t>99,2</w:t>
            </w:r>
          </w:p>
        </w:tc>
      </w:tr>
      <w:tr>
        <w:trPr/>
        <w:tc>
          <w:tcPr>
            <w:tcW w:w="12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Всего расходов</w:t>
            </w:r>
          </w:p>
        </w:tc>
        <w:tc>
          <w:tcPr>
            <w:tcW w:w="1087"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b/>
                <w:bCs/>
                <w:sz w:val="16"/>
                <w:szCs w:val="16"/>
              </w:rPr>
            </w:pPr>
            <w:r>
              <w:rPr>
                <w:b/>
                <w:bCs/>
                <w:sz w:val="16"/>
                <w:szCs w:val="16"/>
              </w:rPr>
            </w:r>
          </w:p>
          <w:p>
            <w:pPr>
              <w:pStyle w:val="Normal"/>
              <w:widowControl w:val="false"/>
              <w:ind w:hanging="0" w:right="176"/>
              <w:jc w:val="left"/>
              <w:rPr>
                <w:b/>
                <w:bCs/>
                <w:sz w:val="16"/>
                <w:szCs w:val="16"/>
              </w:rPr>
            </w:pPr>
            <w:r>
              <w:rPr>
                <w:b/>
                <w:bCs/>
                <w:sz w:val="16"/>
                <w:szCs w:val="16"/>
              </w:rPr>
              <w:t>2 128  900,8</w:t>
            </w:r>
          </w:p>
        </w:tc>
        <w:tc>
          <w:tcPr>
            <w:tcW w:w="1136"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b/>
                <w:bCs/>
                <w:sz w:val="16"/>
                <w:szCs w:val="16"/>
              </w:rPr>
            </w:pPr>
            <w:r>
              <w:rPr>
                <w:b/>
                <w:bCs/>
                <w:sz w:val="16"/>
                <w:szCs w:val="16"/>
              </w:rPr>
            </w:r>
          </w:p>
          <w:p>
            <w:pPr>
              <w:pStyle w:val="Normal"/>
              <w:widowControl w:val="false"/>
              <w:ind w:hanging="0" w:right="176"/>
              <w:jc w:val="left"/>
              <w:rPr>
                <w:b/>
                <w:bCs/>
                <w:sz w:val="16"/>
                <w:szCs w:val="16"/>
              </w:rPr>
            </w:pPr>
            <w:r>
              <w:rPr>
                <w:b/>
                <w:bCs/>
                <w:sz w:val="16"/>
                <w:szCs w:val="16"/>
              </w:rPr>
              <w:t>2 251 771,1</w:t>
            </w:r>
          </w:p>
        </w:tc>
        <w:tc>
          <w:tcPr>
            <w:tcW w:w="1191"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b/>
                <w:bCs/>
                <w:sz w:val="16"/>
                <w:szCs w:val="16"/>
              </w:rPr>
            </w:pPr>
            <w:r>
              <w:rPr>
                <w:b/>
                <w:bCs/>
                <w:sz w:val="16"/>
                <w:szCs w:val="16"/>
              </w:rPr>
            </w:r>
          </w:p>
          <w:p>
            <w:pPr>
              <w:pStyle w:val="Normal"/>
              <w:widowControl w:val="false"/>
              <w:ind w:hanging="0" w:right="176"/>
              <w:jc w:val="left"/>
              <w:rPr>
                <w:b/>
                <w:bCs/>
                <w:sz w:val="16"/>
                <w:szCs w:val="16"/>
              </w:rPr>
            </w:pPr>
            <w:r>
              <w:rPr>
                <w:b/>
                <w:bCs/>
                <w:sz w:val="16"/>
                <w:szCs w:val="16"/>
              </w:rPr>
              <w:t>2 269 746,2</w:t>
            </w:r>
          </w:p>
        </w:tc>
        <w:tc>
          <w:tcPr>
            <w:tcW w:w="1019" w:type="dxa"/>
            <w:tcBorders>
              <w:top w:val="single" w:sz="4" w:space="0" w:color="00000A"/>
              <w:left w:val="single" w:sz="4" w:space="0" w:color="00000A"/>
              <w:bottom w:val="single" w:sz="4" w:space="0" w:color="00000A"/>
            </w:tcBorders>
          </w:tcPr>
          <w:p>
            <w:pPr>
              <w:pStyle w:val="Normal"/>
              <w:widowControl w:val="false"/>
              <w:shd w:val="clear" w:color="auto" w:fill="FFFFFF"/>
              <w:ind w:hanging="0" w:right="176"/>
              <w:jc w:val="left"/>
              <w:rPr>
                <w:b/>
                <w:sz w:val="16"/>
                <w:szCs w:val="16"/>
              </w:rPr>
            </w:pPr>
            <w:r>
              <w:rPr>
                <w:b/>
                <w:sz w:val="16"/>
                <w:szCs w:val="16"/>
              </w:rPr>
            </w:r>
          </w:p>
          <w:p>
            <w:pPr>
              <w:pStyle w:val="Normal"/>
              <w:widowControl w:val="false"/>
              <w:shd w:val="clear" w:color="auto" w:fill="FFFFFF"/>
              <w:ind w:hanging="0" w:right="176"/>
              <w:jc w:val="left"/>
              <w:rPr>
                <w:b/>
                <w:sz w:val="16"/>
                <w:szCs w:val="16"/>
              </w:rPr>
            </w:pPr>
            <w:r>
              <w:rPr>
                <w:b/>
                <w:sz w:val="16"/>
                <w:szCs w:val="16"/>
              </w:rPr>
              <w:t>+17 975,1</w:t>
            </w:r>
          </w:p>
        </w:tc>
        <w:tc>
          <w:tcPr>
            <w:tcW w:w="1138" w:type="dxa"/>
            <w:tcBorders>
              <w:top w:val="single" w:sz="4" w:space="0" w:color="00000A"/>
              <w:left w:val="single" w:sz="4" w:space="0" w:color="00000A"/>
              <w:bottom w:val="single" w:sz="4" w:space="0" w:color="00000A"/>
              <w:right w:val="single" w:sz="4" w:space="0" w:color="00000A"/>
            </w:tcBorders>
          </w:tcPr>
          <w:p>
            <w:pPr>
              <w:pStyle w:val="Normal"/>
              <w:widowControl w:val="false"/>
              <w:shd w:val="clear" w:color="auto" w:fill="FFFFFF"/>
              <w:ind w:hanging="0" w:right="176"/>
              <w:jc w:val="left"/>
              <w:rPr>
                <w:b/>
                <w:sz w:val="16"/>
                <w:szCs w:val="16"/>
              </w:rPr>
            </w:pPr>
            <w:r>
              <w:rPr>
                <w:b/>
                <w:sz w:val="16"/>
                <w:szCs w:val="16"/>
              </w:rPr>
            </w:r>
          </w:p>
          <w:p>
            <w:pPr>
              <w:pStyle w:val="Normal"/>
              <w:widowControl w:val="false"/>
              <w:shd w:val="clear" w:color="auto" w:fill="FFFFFF"/>
              <w:ind w:hanging="0" w:right="176"/>
              <w:jc w:val="left"/>
              <w:rPr>
                <w:b/>
                <w:sz w:val="16"/>
                <w:szCs w:val="16"/>
              </w:rPr>
            </w:pPr>
            <w:r>
              <w:rPr>
                <w:b/>
                <w:sz w:val="16"/>
                <w:szCs w:val="16"/>
              </w:rPr>
              <w:t>2 242 232,9</w:t>
            </w:r>
          </w:p>
        </w:tc>
        <w:tc>
          <w:tcPr>
            <w:tcW w:w="11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b/>
                <w:bCs/>
                <w:sz w:val="16"/>
                <w:szCs w:val="16"/>
                <w:shd w:fill="FFFF00" w:val="clear"/>
                <w:lang w:val="en-US"/>
              </w:rPr>
            </w:pPr>
            <w:r>
              <w:rPr>
                <w:b/>
                <w:bCs/>
                <w:sz w:val="16"/>
                <w:szCs w:val="16"/>
                <w:shd w:fill="FFFF00" w:val="clear"/>
                <w:lang w:val="en-US"/>
              </w:rPr>
            </w:r>
          </w:p>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lang w:val="en-US"/>
              </w:rPr>
              <w:t>+ 1</w:t>
            </w:r>
            <w:r>
              <w:rPr>
                <w:b/>
                <w:bCs/>
                <w:sz w:val="16"/>
                <w:szCs w:val="16"/>
              </w:rPr>
              <w:t>40 845,4</w:t>
            </w:r>
          </w:p>
        </w:tc>
        <w:tc>
          <w:tcPr>
            <w:tcW w:w="96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r>
          </w:p>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lang w:val="en-US"/>
              </w:rPr>
              <w:t>-</w:t>
            </w:r>
            <w:r>
              <w:rPr>
                <w:b/>
                <w:bCs/>
                <w:sz w:val="16"/>
                <w:szCs w:val="16"/>
              </w:rPr>
              <w:t>27 513,3</w:t>
            </w:r>
          </w:p>
        </w:tc>
        <w:tc>
          <w:tcPr>
            <w:tcW w:w="736" w:type="dxa"/>
            <w:tcBorders>
              <w:top w:val="single" w:sz="4" w:space="0" w:color="00000A"/>
              <w:left w:val="single" w:sz="4" w:space="0" w:color="00000A"/>
              <w:bottom w:val="single" w:sz="4" w:space="0" w:color="00000A"/>
              <w:right w:val="single" w:sz="4" w:space="0" w:color="00000A"/>
            </w:tcBorders>
          </w:tcPr>
          <w:p>
            <w:pPr>
              <w:pStyle w:val="Normal"/>
              <w:widowControl w:val="false"/>
              <w:shd w:val="clear" w:color="auto" w:fill="FFFFFF"/>
              <w:ind w:hanging="0" w:right="176"/>
              <w:jc w:val="left"/>
              <w:rPr>
                <w:b/>
                <w:sz w:val="18"/>
                <w:szCs w:val="18"/>
              </w:rPr>
            </w:pPr>
            <w:r>
              <w:rPr>
                <w:b/>
                <w:sz w:val="18"/>
                <w:szCs w:val="18"/>
              </w:rPr>
            </w:r>
          </w:p>
          <w:p>
            <w:pPr>
              <w:pStyle w:val="Normal"/>
              <w:widowControl w:val="false"/>
              <w:shd w:val="clear" w:color="auto" w:fill="FFFFFF"/>
              <w:ind w:hanging="0" w:right="176"/>
              <w:jc w:val="left"/>
              <w:rPr>
                <w:b/>
                <w:sz w:val="18"/>
                <w:szCs w:val="18"/>
              </w:rPr>
            </w:pPr>
            <w:r>
              <w:rPr>
                <w:b/>
                <w:sz w:val="18"/>
                <w:szCs w:val="18"/>
              </w:rPr>
              <w:t>98,8</w:t>
            </w:r>
          </w:p>
        </w:tc>
      </w:tr>
      <w:tr>
        <w:trPr/>
        <w:tc>
          <w:tcPr>
            <w:tcW w:w="12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center"/>
              <w:rPr>
                <w:b/>
                <w:bCs/>
                <w:sz w:val="20"/>
                <w:szCs w:val="20"/>
              </w:rPr>
            </w:pPr>
            <w:r>
              <w:rPr>
                <w:b/>
                <w:bCs/>
                <w:sz w:val="20"/>
                <w:szCs w:val="20"/>
              </w:rPr>
              <w:t>Дефицит(-), профицит(+)</w:t>
            </w:r>
          </w:p>
        </w:tc>
        <w:tc>
          <w:tcPr>
            <w:tcW w:w="1087"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b/>
                <w:bCs/>
                <w:sz w:val="16"/>
                <w:szCs w:val="16"/>
              </w:rPr>
            </w:pPr>
            <w:r>
              <w:rPr>
                <w:b/>
                <w:bCs/>
                <w:sz w:val="16"/>
                <w:szCs w:val="16"/>
              </w:rPr>
            </w:r>
          </w:p>
          <w:p>
            <w:pPr>
              <w:pStyle w:val="Normal"/>
              <w:widowControl w:val="false"/>
              <w:ind w:hanging="0" w:right="176"/>
              <w:jc w:val="left"/>
              <w:rPr>
                <w:b/>
                <w:bCs/>
                <w:sz w:val="16"/>
                <w:szCs w:val="16"/>
              </w:rPr>
            </w:pPr>
            <w:r>
              <w:rPr>
                <w:b/>
                <w:bCs/>
                <w:sz w:val="16"/>
                <w:szCs w:val="16"/>
              </w:rPr>
              <w:t>- 20 206,1</w:t>
            </w:r>
          </w:p>
        </w:tc>
        <w:tc>
          <w:tcPr>
            <w:tcW w:w="1136"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b/>
                <w:bCs/>
                <w:sz w:val="16"/>
                <w:szCs w:val="16"/>
              </w:rPr>
            </w:pPr>
            <w:r>
              <w:rPr>
                <w:b/>
                <w:bCs/>
                <w:sz w:val="16"/>
                <w:szCs w:val="16"/>
              </w:rPr>
            </w:r>
          </w:p>
          <w:p>
            <w:pPr>
              <w:pStyle w:val="Normal"/>
              <w:widowControl w:val="false"/>
              <w:ind w:hanging="0" w:right="176"/>
              <w:jc w:val="left"/>
              <w:rPr>
                <w:b/>
                <w:bCs/>
                <w:sz w:val="16"/>
                <w:szCs w:val="16"/>
              </w:rPr>
            </w:pPr>
            <w:r>
              <w:rPr>
                <w:b/>
                <w:bCs/>
                <w:sz w:val="16"/>
                <w:szCs w:val="16"/>
              </w:rPr>
              <w:t>- 25 455,8</w:t>
            </w:r>
          </w:p>
        </w:tc>
        <w:tc>
          <w:tcPr>
            <w:tcW w:w="1191"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left"/>
              <w:rPr>
                <w:sz w:val="16"/>
                <w:szCs w:val="16"/>
              </w:rPr>
            </w:pPr>
            <w:r>
              <w:rPr>
                <w:sz w:val="16"/>
                <w:szCs w:val="16"/>
              </w:rPr>
            </w:r>
          </w:p>
          <w:p>
            <w:pPr>
              <w:pStyle w:val="Normal"/>
              <w:widowControl w:val="false"/>
              <w:ind w:hanging="0" w:right="176"/>
              <w:jc w:val="left"/>
              <w:rPr>
                <w:b/>
                <w:bCs/>
                <w:sz w:val="16"/>
                <w:szCs w:val="16"/>
              </w:rPr>
            </w:pPr>
            <w:r>
              <w:rPr>
                <w:b/>
                <w:bCs/>
                <w:sz w:val="16"/>
                <w:szCs w:val="16"/>
              </w:rPr>
              <w:t>- 25 455,8</w:t>
            </w:r>
          </w:p>
        </w:tc>
        <w:tc>
          <w:tcPr>
            <w:tcW w:w="1019" w:type="dxa"/>
            <w:tcBorders>
              <w:top w:val="single" w:sz="4" w:space="0" w:color="00000A"/>
              <w:left w:val="single" w:sz="4" w:space="0" w:color="00000A"/>
              <w:bottom w:val="single" w:sz="4" w:space="0" w:color="00000A"/>
            </w:tcBorders>
          </w:tcPr>
          <w:p>
            <w:pPr>
              <w:pStyle w:val="Normal"/>
              <w:widowControl w:val="false"/>
              <w:shd w:val="clear" w:color="auto" w:fill="FFFFFF"/>
              <w:ind w:hanging="0" w:right="176"/>
              <w:jc w:val="left"/>
              <w:rPr>
                <w:sz w:val="16"/>
                <w:szCs w:val="16"/>
              </w:rPr>
            </w:pPr>
            <w:r>
              <w:rPr>
                <w:sz w:val="16"/>
                <w:szCs w:val="16"/>
              </w:rPr>
            </w:r>
          </w:p>
          <w:p>
            <w:pPr>
              <w:pStyle w:val="Normal"/>
              <w:widowControl w:val="false"/>
              <w:shd w:val="clear" w:color="auto" w:fill="FFFFFF"/>
              <w:ind w:hanging="0" w:right="176"/>
              <w:jc w:val="left"/>
              <w:rPr>
                <w:sz w:val="16"/>
                <w:szCs w:val="16"/>
              </w:rPr>
            </w:pPr>
            <w:r>
              <w:rPr>
                <w:sz w:val="16"/>
                <w:szCs w:val="16"/>
              </w:rPr>
              <w:t>-</w:t>
            </w:r>
          </w:p>
        </w:tc>
        <w:tc>
          <w:tcPr>
            <w:tcW w:w="1138" w:type="dxa"/>
            <w:tcBorders>
              <w:top w:val="single" w:sz="4" w:space="0" w:color="00000A"/>
              <w:left w:val="single" w:sz="4" w:space="0" w:color="00000A"/>
              <w:bottom w:val="single" w:sz="4" w:space="0" w:color="00000A"/>
              <w:right w:val="single" w:sz="4" w:space="0" w:color="00000A"/>
            </w:tcBorders>
          </w:tcPr>
          <w:p>
            <w:pPr>
              <w:pStyle w:val="Normal"/>
              <w:widowControl w:val="false"/>
              <w:shd w:val="clear" w:color="auto" w:fill="FFFFFF"/>
              <w:ind w:hanging="0" w:right="176"/>
              <w:jc w:val="left"/>
              <w:rPr>
                <w:b/>
                <w:sz w:val="16"/>
                <w:szCs w:val="16"/>
              </w:rPr>
            </w:pPr>
            <w:r>
              <w:rPr>
                <w:b/>
                <w:sz w:val="16"/>
                <w:szCs w:val="16"/>
              </w:rPr>
            </w:r>
          </w:p>
          <w:p>
            <w:pPr>
              <w:pStyle w:val="Normal"/>
              <w:widowControl w:val="false"/>
              <w:shd w:val="clear" w:color="auto" w:fill="FFFFFF"/>
              <w:ind w:hanging="0" w:right="176"/>
              <w:jc w:val="left"/>
              <w:rPr>
                <w:b/>
                <w:sz w:val="16"/>
                <w:szCs w:val="16"/>
              </w:rPr>
            </w:pPr>
            <w:r>
              <w:rPr>
                <w:b/>
                <w:sz w:val="16"/>
                <w:szCs w:val="16"/>
              </w:rPr>
              <w:t>+ 685,4</w:t>
            </w:r>
          </w:p>
          <w:p>
            <w:pPr>
              <w:pStyle w:val="Normal"/>
              <w:widowControl w:val="false"/>
              <w:shd w:val="clear" w:color="auto" w:fill="FFFFFF"/>
              <w:ind w:hanging="0" w:right="176"/>
              <w:jc w:val="left"/>
              <w:rPr>
                <w:b/>
                <w:sz w:val="16"/>
                <w:szCs w:val="16"/>
              </w:rPr>
            </w:pPr>
            <w:r>
              <w:rPr>
                <w:b/>
                <w:sz w:val="16"/>
                <w:szCs w:val="16"/>
              </w:rPr>
            </w:r>
          </w:p>
        </w:tc>
        <w:tc>
          <w:tcPr>
            <w:tcW w:w="113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b/>
                <w:bCs/>
                <w:sz w:val="16"/>
                <w:szCs w:val="16"/>
                <w:shd w:fill="FFFF00" w:val="clear"/>
                <w:lang w:val="en-US"/>
              </w:rPr>
            </w:pPr>
            <w:r>
              <w:rPr>
                <w:b/>
                <w:bCs/>
                <w:sz w:val="16"/>
                <w:szCs w:val="16"/>
                <w:shd w:fill="FFFF00" w:val="clear"/>
                <w:lang w:val="en-US"/>
              </w:rPr>
            </w:r>
          </w:p>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t>+5 249,7</w:t>
            </w:r>
          </w:p>
        </w:tc>
        <w:tc>
          <w:tcPr>
            <w:tcW w:w="96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r>
          </w:p>
          <w:p>
            <w:pPr>
              <w:pStyle w:val="Normal"/>
              <w:widowControl w:val="false"/>
              <w:tabs>
                <w:tab w:val="clear" w:pos="720"/>
                <w:tab w:val="left" w:pos="709" w:leader="none"/>
                <w:tab w:val="left" w:pos="1080" w:leader="none"/>
              </w:tabs>
              <w:ind w:hanging="0" w:right="176"/>
              <w:jc w:val="left"/>
              <w:rPr>
                <w:b/>
                <w:bCs/>
                <w:sz w:val="16"/>
                <w:szCs w:val="16"/>
              </w:rPr>
            </w:pPr>
            <w:r>
              <w:rPr>
                <w:b/>
                <w:bCs/>
                <w:sz w:val="16"/>
                <w:szCs w:val="16"/>
              </w:rPr>
              <w:t>+26 141,2</w:t>
            </w:r>
          </w:p>
        </w:tc>
        <w:tc>
          <w:tcPr>
            <w:tcW w:w="736"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709" w:leader="none"/>
                <w:tab w:val="left" w:pos="1080" w:leader="none"/>
              </w:tabs>
              <w:ind w:hanging="0" w:right="176"/>
              <w:jc w:val="left"/>
              <w:rPr>
                <w:b/>
                <w:bCs/>
                <w:sz w:val="18"/>
                <w:szCs w:val="18"/>
              </w:rPr>
            </w:pPr>
            <w:r>
              <w:rPr>
                <w:b/>
                <w:bCs/>
                <w:sz w:val="18"/>
                <w:szCs w:val="18"/>
              </w:rPr>
            </w:r>
          </w:p>
        </w:tc>
      </w:tr>
    </w:tbl>
    <w:p>
      <w:pPr>
        <w:pStyle w:val="Normal"/>
        <w:tabs>
          <w:tab w:val="clear" w:pos="720"/>
          <w:tab w:val="left" w:pos="709" w:leader="none"/>
          <w:tab w:val="left" w:pos="1080" w:leader="none"/>
        </w:tabs>
        <w:ind w:firstLine="180" w:right="176"/>
        <w:rPr>
          <w:sz w:val="25"/>
          <w:szCs w:val="25"/>
        </w:rPr>
      </w:pPr>
      <w:r>
        <w:rPr>
          <w:sz w:val="25"/>
          <w:szCs w:val="25"/>
        </w:rPr>
      </w:r>
    </w:p>
    <w:p>
      <w:pPr>
        <w:pStyle w:val="Normal"/>
        <w:tabs>
          <w:tab w:val="clear" w:pos="720"/>
          <w:tab w:val="left" w:pos="709" w:leader="none"/>
          <w:tab w:val="left" w:pos="1080" w:leader="none"/>
        </w:tabs>
        <w:ind w:firstLine="180" w:right="176"/>
        <w:rPr/>
      </w:pPr>
      <w:r>
        <w:rPr>
          <w:sz w:val="25"/>
          <w:szCs w:val="25"/>
        </w:rPr>
        <w:t xml:space="preserve">  </w:t>
      </w:r>
      <w:r>
        <w:rPr>
          <w:color w:val="302709"/>
          <w:sz w:val="25"/>
          <w:szCs w:val="25"/>
        </w:rPr>
        <w:t xml:space="preserve">  </w:t>
      </w:r>
      <w:r>
        <w:rPr>
          <w:color w:val="302709"/>
          <w:sz w:val="25"/>
          <w:szCs w:val="25"/>
        </w:rPr>
        <w:t>Отклонение показателей сводной бюджетной росписи и кассового плана на 2025 год от показателей решения о бюджете, в редакции решения Думы от 23.12.2025г. №219, по доходам и по расходам составило 17 975,1 тыс. руб. в сторону увеличения, сумма дефицита бюджета не изменилась.</w:t>
      </w:r>
      <w:r>
        <w:rPr>
          <w:sz w:val="25"/>
          <w:szCs w:val="25"/>
        </w:rPr>
        <w:t xml:space="preserve"> Расхождение связано с получением, </w:t>
      </w:r>
      <w:r>
        <w:rPr/>
        <w:t xml:space="preserve">после внесения в 2025 году проекта решения об уточнении бюджета района в Думу Тулунского муниципального района, </w:t>
      </w:r>
      <w:r>
        <w:rPr>
          <w:sz w:val="25"/>
          <w:szCs w:val="25"/>
        </w:rPr>
        <w:t xml:space="preserve">Уведомлений от Министерства финансов Иркутской области об изменении межбюджетных трансфертов из областного бюджета в соответствии с </w:t>
      </w:r>
      <w:r>
        <w:rPr>
          <w:sz w:val="26"/>
          <w:szCs w:val="26"/>
        </w:rPr>
        <w:t>внесением изменений постановлениями Правительства Иркутской области</w:t>
      </w:r>
      <w:r>
        <w:rPr>
          <w:sz w:val="25"/>
          <w:szCs w:val="25"/>
        </w:rPr>
        <w:t xml:space="preserve"> (всего уменьшено бюджетных ассигнований на сумму 4 036,1 тыс. руб., увеличено бюджетных ассигнований на сумму 22 011,2 тыс. руб.).   </w:t>
      </w:r>
      <w:r>
        <w:rPr>
          <w:sz w:val="25"/>
          <w:szCs w:val="25"/>
          <w:shd w:fill="FFFF00" w:val="clear"/>
        </w:rPr>
        <w:t xml:space="preserve">   </w:t>
      </w:r>
    </w:p>
    <w:p>
      <w:pPr>
        <w:pStyle w:val="Normal"/>
        <w:tabs>
          <w:tab w:val="clear" w:pos="720"/>
          <w:tab w:val="left" w:pos="709" w:leader="none"/>
          <w:tab w:val="left" w:pos="1080" w:leader="none"/>
        </w:tabs>
        <w:ind w:firstLine="180" w:right="176"/>
        <w:rPr>
          <w:sz w:val="25"/>
          <w:szCs w:val="25"/>
        </w:rPr>
      </w:pPr>
      <w:r>
        <w:rPr>
          <w:sz w:val="25"/>
          <w:szCs w:val="25"/>
        </w:rPr>
        <w:t xml:space="preserve"> </w:t>
      </w:r>
      <w:r>
        <w:rPr>
          <w:sz w:val="25"/>
          <w:szCs w:val="25"/>
        </w:rPr>
        <w:t xml:space="preserve">Изменения в сводную бюджетную роспись бюджета и в кассовый план бюджета Тулунского района внесены приказами Комитета по финансам администрации Тулунского муниципального района от 24.12.2025г №178(од), от 25.12.2025г № 181(од) в соответствии со статьёй 217 Бюджетного кодекса РФ и пунктом 19 решения Думы Тулунского муниципального района «О бюджете Тулунского муниципального района на 2025 год и на плановый период 2026 и 2027 годов» в сумме 17 975,1 тыс.руб. </w:t>
      </w:r>
    </w:p>
    <w:p>
      <w:pPr>
        <w:pStyle w:val="Normal"/>
        <w:tabs>
          <w:tab w:val="clear" w:pos="720"/>
          <w:tab w:val="left" w:pos="709" w:leader="none"/>
          <w:tab w:val="left" w:pos="1080" w:leader="none"/>
        </w:tabs>
        <w:ind w:firstLine="180" w:right="176"/>
        <w:rPr/>
      </w:pPr>
      <w:r>
        <w:rPr>
          <w:sz w:val="25"/>
          <w:szCs w:val="25"/>
        </w:rPr>
        <w:t xml:space="preserve">  </w:t>
      </w:r>
      <w:r>
        <w:rPr>
          <w:sz w:val="25"/>
          <w:szCs w:val="25"/>
        </w:rPr>
        <w:t>Увеличение плановых бюджетных назначений</w:t>
      </w:r>
      <w:bookmarkStart w:id="1" w:name="__DdeLink__36303_2859322844"/>
      <w:r>
        <w:rPr>
          <w:sz w:val="25"/>
          <w:szCs w:val="25"/>
        </w:rPr>
        <w:t xml:space="preserve"> по сравнению с первоначальной редакцией решения о бюджете</w:t>
      </w:r>
      <w:bookmarkEnd w:id="1"/>
      <w:r>
        <w:rPr>
          <w:sz w:val="25"/>
          <w:szCs w:val="25"/>
        </w:rPr>
        <w:t xml:space="preserve"> в течении 2025 года осуществлено по доходам бюджета района всего на сумму 17 975,1тыс. руб. (или на 0,8%), в том числе по группе «Безвозмездные перечисления» увеличены на 17 975,1 тыс. руб. </w:t>
      </w:r>
    </w:p>
    <w:p>
      <w:pPr>
        <w:pStyle w:val="Normal"/>
        <w:tabs>
          <w:tab w:val="clear" w:pos="720"/>
          <w:tab w:val="left" w:pos="709" w:leader="none"/>
          <w:tab w:val="left" w:pos="1080" w:leader="none"/>
        </w:tabs>
        <w:ind w:firstLine="180" w:right="176"/>
        <w:rPr/>
      </w:pPr>
      <w:r>
        <w:rPr>
          <w:sz w:val="25"/>
          <w:szCs w:val="25"/>
        </w:rPr>
        <w:t xml:space="preserve">     </w:t>
      </w:r>
      <w:r>
        <w:rPr>
          <w:sz w:val="25"/>
          <w:szCs w:val="25"/>
        </w:rPr>
        <w:t xml:space="preserve">Доходы бюджета района исполнены в сумме </w:t>
      </w:r>
      <w:r>
        <w:rPr/>
        <w:t xml:space="preserve">2 242 918,3 </w:t>
      </w:r>
      <w:r>
        <w:rPr>
          <w:sz w:val="25"/>
          <w:szCs w:val="25"/>
        </w:rPr>
        <w:t xml:space="preserve">тыс. руб.,  что на </w:t>
      </w:r>
      <w:r>
        <w:rPr/>
        <w:t>1 372,1</w:t>
      </w:r>
      <w:r>
        <w:rPr>
          <w:sz w:val="25"/>
          <w:szCs w:val="25"/>
        </w:rPr>
        <w:t xml:space="preserve"> тыс. руб. меньше, чем утверждено по уточненному кассовому плану на 2025 год. Плановые назначения по доходам недовыполнены на 0,1%, в том числе:</w:t>
      </w:r>
    </w:p>
    <w:p>
      <w:pPr>
        <w:pStyle w:val="Normal"/>
        <w:tabs>
          <w:tab w:val="clear" w:pos="720"/>
          <w:tab w:val="left" w:pos="709" w:leader="none"/>
          <w:tab w:val="left" w:pos="1080" w:leader="none"/>
        </w:tabs>
        <w:ind w:firstLine="180" w:right="176"/>
        <w:rPr>
          <w:sz w:val="25"/>
          <w:szCs w:val="25"/>
        </w:rPr>
      </w:pPr>
      <w:r>
        <w:rPr>
          <w:sz w:val="25"/>
          <w:szCs w:val="25"/>
        </w:rPr>
        <w:t xml:space="preserve">          </w:t>
      </w:r>
      <w:r>
        <w:rPr>
          <w:sz w:val="25"/>
          <w:szCs w:val="25"/>
        </w:rPr>
        <w:t>- по налоговым и неналоговым доходам  перевыполнение  на 4,3%;</w:t>
      </w:r>
    </w:p>
    <w:p>
      <w:pPr>
        <w:pStyle w:val="Normal"/>
        <w:tabs>
          <w:tab w:val="clear" w:pos="720"/>
          <w:tab w:val="left" w:pos="709" w:leader="none"/>
          <w:tab w:val="left" w:pos="1080" w:leader="none"/>
        </w:tabs>
        <w:ind w:firstLine="180" w:right="176"/>
        <w:rPr>
          <w:sz w:val="25"/>
          <w:szCs w:val="25"/>
        </w:rPr>
      </w:pPr>
      <w:r>
        <w:rPr>
          <w:sz w:val="25"/>
          <w:szCs w:val="25"/>
        </w:rPr>
        <w:t xml:space="preserve">          </w:t>
      </w:r>
      <w:r>
        <w:rPr>
          <w:sz w:val="25"/>
          <w:szCs w:val="25"/>
        </w:rPr>
        <w:t>- по безвозмездным поступлениям невыполнение на 0,8%.</w:t>
      </w:r>
    </w:p>
    <w:p>
      <w:pPr>
        <w:pStyle w:val="Normal"/>
        <w:tabs>
          <w:tab w:val="clear" w:pos="720"/>
          <w:tab w:val="left" w:pos="709" w:leader="none"/>
          <w:tab w:val="left" w:pos="1080" w:leader="none"/>
        </w:tabs>
        <w:ind w:firstLine="180" w:right="176"/>
        <w:rPr/>
      </w:pPr>
      <w:r>
        <w:rPr>
          <w:sz w:val="25"/>
          <w:szCs w:val="25"/>
        </w:rPr>
        <w:t xml:space="preserve">   </w:t>
      </w:r>
      <w:r>
        <w:rPr>
          <w:sz w:val="25"/>
          <w:szCs w:val="25"/>
        </w:rPr>
        <w:t xml:space="preserve">План по расходам бюджета района по сравнению с первоначальной редакцией увеличен на </w:t>
      </w:r>
      <w:r>
        <w:rPr/>
        <w:t xml:space="preserve"> 140 845,4</w:t>
      </w:r>
      <w:r>
        <w:rPr>
          <w:sz w:val="25"/>
          <w:szCs w:val="25"/>
        </w:rPr>
        <w:t xml:space="preserve"> тыс. руб. (или на 6,6%). Расходы бюджета района в 2025 году исполнены в сумме </w:t>
      </w:r>
      <w:r>
        <w:rPr/>
        <w:t>2 242 232,9</w:t>
      </w:r>
      <w:r>
        <w:rPr>
          <w:sz w:val="25"/>
          <w:szCs w:val="25"/>
        </w:rPr>
        <w:t xml:space="preserve">тыс. руб., что ниже уточненных плановых назначений на </w:t>
      </w:r>
      <w:r>
        <w:rPr/>
        <w:t>27 513,3</w:t>
      </w:r>
      <w:r>
        <w:rPr>
          <w:sz w:val="25"/>
          <w:szCs w:val="25"/>
        </w:rPr>
        <w:t xml:space="preserve"> тыс. руб. (или на 1,2%).</w:t>
      </w:r>
    </w:p>
    <w:p>
      <w:pPr>
        <w:pStyle w:val="Normal"/>
        <w:tabs>
          <w:tab w:val="clear" w:pos="720"/>
          <w:tab w:val="left" w:pos="1080" w:leader="none"/>
        </w:tabs>
        <w:rPr/>
      </w:pPr>
      <w:r>
        <w:rPr>
          <w:sz w:val="25"/>
          <w:szCs w:val="25"/>
        </w:rPr>
        <w:t>Плановый размер дефицита в окончательной редакции по сравнению с первоначальной редакцией решения о бюджете не  изменился  и составил в сумме 25 455,8 тыс. руб. По итогам 2025 года бюджет района исполнен с профицитом  в сумме 685,4</w:t>
      </w:r>
      <w:bookmarkStart w:id="2" w:name="__DdeLink__19456_3505204736"/>
      <w:r>
        <w:rPr>
          <w:sz w:val="25"/>
          <w:szCs w:val="25"/>
        </w:rPr>
        <w:t xml:space="preserve"> тыс. руб</w:t>
      </w:r>
      <w:bookmarkEnd w:id="2"/>
      <w:r>
        <w:rPr>
          <w:sz w:val="25"/>
          <w:szCs w:val="25"/>
        </w:rPr>
        <w:t>.</w:t>
      </w:r>
    </w:p>
    <w:p>
      <w:pPr>
        <w:pStyle w:val="Normal"/>
        <w:tabs>
          <w:tab w:val="clear" w:pos="720"/>
          <w:tab w:val="left" w:pos="1080" w:leader="none"/>
        </w:tabs>
        <w:rPr/>
      </w:pPr>
      <w:r>
        <w:rPr>
          <w:color w:val="000000"/>
          <w:sz w:val="25"/>
          <w:szCs w:val="25"/>
        </w:rPr>
        <w:t xml:space="preserve">Остаток бюджетных средств на едином счете финансового органа №02343Р52730, открытого в Управлении Федерального казначейства по Иркутской области, после завершения операции по принятым денежным обязательствам за 2025г., по состоянию  на 01.01.2026г. составляет 19 470 033 руб. 02 коп. Достоверность остатка бюджетных средств на едином счете финансового органа, отраженных в Балансе исполнения  бюджета Тулунского муниципального района (ф.0503120) подтверждена Справкой о свободном остатке средств бюджета (ф.0531859) Управления Федерального казначейства по Иркутской области. </w:t>
      </w:r>
      <w:r>
        <w:rPr>
          <w:sz w:val="25"/>
          <w:szCs w:val="25"/>
        </w:rPr>
        <w:t xml:space="preserve">Остатки сложились : целевые остатки дорожного фонда 7 251 457 руб. 76 коп., родительская плата 1 464 928 руб. 14 коп., экологические платежи 5 346 221 руб. 80 коп., инициативные платежи 2025г.-15 462 руб. 76 коп., инициативные платежи 2026г.-1 022 485 руб. 00 коп,  прочие безвозмездные поступления (МКОУ ДО "ДШИ" с Шерагул") 43 591 руб. 80 коп. Не целевые денежные средства местного бюджета составляют в сумме 4  325 895 руб. 76 коп. </w:t>
      </w:r>
    </w:p>
    <w:p>
      <w:pPr>
        <w:pStyle w:val="Normal"/>
        <w:tabs>
          <w:tab w:val="clear" w:pos="720"/>
          <w:tab w:val="left" w:pos="1080" w:leader="none"/>
        </w:tabs>
        <w:rPr>
          <w:sz w:val="25"/>
          <w:szCs w:val="25"/>
        </w:rPr>
      </w:pPr>
      <w:r>
        <w:rPr>
          <w:sz w:val="25"/>
          <w:szCs w:val="25"/>
        </w:rPr>
        <w:t>По сравнению с остатком на начало отчетного периода, сумма остатка на лицевом счете на конец отчетного года увеличились на 15 720 350 руб. 88 коп.</w:t>
        <w:tab/>
      </w:r>
    </w:p>
    <w:p>
      <w:pPr>
        <w:pStyle w:val="Normal"/>
        <w:tabs>
          <w:tab w:val="clear" w:pos="720"/>
          <w:tab w:val="left" w:pos="709" w:leader="none"/>
          <w:tab w:val="left" w:pos="1080" w:leader="none"/>
        </w:tabs>
        <w:rPr>
          <w:sz w:val="25"/>
          <w:szCs w:val="25"/>
        </w:rPr>
      </w:pPr>
      <w:r>
        <w:rPr>
          <w:sz w:val="25"/>
          <w:szCs w:val="25"/>
        </w:rPr>
        <w:t xml:space="preserve">В соответствии со статьями 217; 217.1 Бюджетного кодекса РФ и Положением «О бюджетном процессе в муниципальном образовании «Тулунский район» Комитет по финансам администрации Тулунского муниципального района осуществляет исполнение бюджета на основе сводной бюджетной росписи и кассового плана. </w:t>
      </w:r>
    </w:p>
    <w:p>
      <w:pPr>
        <w:pStyle w:val="Normal"/>
        <w:rPr/>
      </w:pPr>
      <w:r>
        <w:rPr>
          <w:color w:val="302709"/>
          <w:sz w:val="25"/>
          <w:szCs w:val="25"/>
        </w:rPr>
        <w:t>Экспертизой установлено, что составление и ведение сводной бюджетной росписи бюджета, кассового плана в течении отчетного года осуществлялось в соответствии с приказами Комитета по финансам администрации Тулунского муниципального района от 12.03.2014г. №791(о.д) (в редакции от 30.12.2020г. №154(о.д.)) «О порядке составления и ведения кассового плана исполнения бюджета Тулунского муниципального района и бюджетов сельских поселений</w:t>
      </w:r>
      <w:r>
        <w:rPr>
          <w:sz w:val="25"/>
          <w:szCs w:val="25"/>
        </w:rPr>
        <w:t>», от  12.03.2021г. №24(о.д) (в редакции от 15.06.2021г. №71(о.д.))</w:t>
      </w:r>
      <w:r>
        <w:rPr>
          <w:i/>
          <w:sz w:val="25"/>
          <w:szCs w:val="25"/>
        </w:rPr>
        <w:t xml:space="preserve"> «</w:t>
      </w:r>
      <w:r>
        <w:rPr>
          <w:sz w:val="25"/>
          <w:szCs w:val="25"/>
        </w:rPr>
        <w:t>Об утверждении Порядка составления и ведения сводной бюджетной росписи бюджета муниципального образования «Тулунский район», бюджетных росписей главных распорядителей (распорядителей) средств бюджета муниципального образования «Тулунский  район» и бюджетов сельских поселений».</w:t>
      </w:r>
    </w:p>
    <w:p>
      <w:pPr>
        <w:pStyle w:val="Normal"/>
        <w:tabs>
          <w:tab w:val="clear" w:pos="720"/>
          <w:tab w:val="left" w:pos="709" w:leader="none"/>
        </w:tabs>
        <w:spacing w:before="0" w:after="0"/>
        <w:jc w:val="both"/>
        <w:rPr/>
      </w:pPr>
      <w:r>
        <w:rPr>
          <w:color w:val="000000"/>
          <w:sz w:val="25"/>
          <w:szCs w:val="25"/>
        </w:rPr>
        <w:t xml:space="preserve">В  соответствии с требованием статьи 87 Бюджетного кодекса Российской Федерации </w:t>
      </w:r>
      <w:r>
        <w:rPr>
          <w:color w:val="302709"/>
          <w:sz w:val="25"/>
          <w:szCs w:val="25"/>
        </w:rPr>
        <w:t xml:space="preserve">ведение реестров расходных обязательств осуществлялось согласно Порядку ведения реестра расходных обязательств Тулунского муниципального района, утвержденного </w:t>
      </w:r>
      <w:r>
        <w:rPr>
          <w:color w:val="000000"/>
          <w:sz w:val="25"/>
          <w:szCs w:val="25"/>
        </w:rPr>
        <w:t xml:space="preserve"> п</w:t>
      </w:r>
      <w:r>
        <w:rPr>
          <w:color w:val="302709"/>
          <w:sz w:val="25"/>
          <w:szCs w:val="25"/>
        </w:rPr>
        <w:t xml:space="preserve">остановлением администрации Тулунского муниципального района от 22.04.2016г. № 46-пг. (в ред. от 04.10.2017г. №108-пг.) </w:t>
      </w:r>
      <w:r>
        <w:rPr>
          <w:color w:val="000000"/>
          <w:sz w:val="25"/>
          <w:szCs w:val="25"/>
        </w:rPr>
        <w:t>«Об утверждении Порядка ведения реестра расходных обязательств Тулунского муниципального района».</w:t>
      </w:r>
    </w:p>
    <w:p>
      <w:pPr>
        <w:pStyle w:val="Normal"/>
        <w:tabs>
          <w:tab w:val="clear" w:pos="720"/>
          <w:tab w:val="left" w:pos="709" w:leader="none"/>
          <w:tab w:val="left" w:pos="1080" w:leader="none"/>
        </w:tabs>
        <w:ind w:hanging="0" w:right="176"/>
        <w:rPr/>
      </w:pPr>
      <w:r>
        <w:rPr>
          <w:color w:val="000000"/>
          <w:sz w:val="25"/>
          <w:szCs w:val="25"/>
          <w:shd w:fill="FFFFFF" w:val="clear"/>
        </w:rPr>
        <w:t xml:space="preserve">    </w:t>
      </w:r>
      <w:r>
        <w:rPr>
          <w:color w:val="000000"/>
          <w:sz w:val="25"/>
          <w:szCs w:val="25"/>
          <w:shd w:fill="FFFFFF" w:val="clear"/>
        </w:rPr>
        <w:t>В  соответствии с требованием статьи 47.1 Бюджетного кодекса Российской Федерации ведение реестра источников доходов бюджета муниципального образования «Тулунский район» осуществлялось согласно По</w:t>
      </w:r>
      <w:r>
        <w:rPr>
          <w:color w:val="000000"/>
          <w:sz w:val="25"/>
          <w:szCs w:val="25"/>
        </w:rPr>
        <w:t>рядку формирования и ведения реестра источников доходов бюджета муниципального образования «Тулунский район», утвержденного постановлением администрации Тулунского муниципального района от 03.11.2017г. № 123-пг. «Об утверждении Порядка формирования и ведения реестра источников доходов бюджета муниципального образования «Тулунский район».</w:t>
      </w:r>
    </w:p>
    <w:p>
      <w:pPr>
        <w:pStyle w:val="Normal"/>
        <w:tabs>
          <w:tab w:val="clear" w:pos="720"/>
          <w:tab w:val="left" w:pos="709" w:leader="none"/>
          <w:tab w:val="left" w:pos="1080" w:leader="none"/>
        </w:tabs>
        <w:ind w:hanging="0" w:right="176"/>
        <w:rPr>
          <w:sz w:val="25"/>
          <w:szCs w:val="25"/>
        </w:rPr>
      </w:pPr>
      <w:r>
        <w:rPr>
          <w:sz w:val="25"/>
          <w:szCs w:val="25"/>
        </w:rPr>
        <w:t xml:space="preserve">      </w:t>
      </w:r>
      <w:r>
        <w:rPr>
          <w:sz w:val="25"/>
          <w:szCs w:val="25"/>
        </w:rPr>
        <w:t>Анализ отчетов распорядителей и получателей бюджетных средств показал что в соответствии со ст. 264.2 Бюджетного кодекса РФ, главные распорядители бюджетных средств, главные администраторы доходов бюджета, главные администраторы источников финансирования дефицита бюджета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pPr>
        <w:pStyle w:val="Normal"/>
        <w:tabs>
          <w:tab w:val="clear" w:pos="720"/>
          <w:tab w:val="left" w:pos="709" w:leader="none"/>
          <w:tab w:val="left" w:pos="1080" w:leader="none"/>
        </w:tabs>
        <w:ind w:hanging="0" w:right="176"/>
        <w:rPr>
          <w:sz w:val="25"/>
          <w:szCs w:val="25"/>
        </w:rPr>
      </w:pPr>
      <w:r>
        <w:rPr>
          <w:sz w:val="25"/>
          <w:szCs w:val="25"/>
        </w:rPr>
        <w:t xml:space="preserve">   </w:t>
      </w:r>
      <w:r>
        <w:rPr>
          <w:sz w:val="25"/>
          <w:szCs w:val="25"/>
        </w:rPr>
        <w:t>Бюджетная отчетность в казенных учреждениях составлена в соответствии с Приказом Минфина РФ от 28.12.2010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РФ».</w:t>
      </w:r>
    </w:p>
    <w:p>
      <w:pPr>
        <w:pStyle w:val="Normal"/>
        <w:tabs>
          <w:tab w:val="clear" w:pos="720"/>
          <w:tab w:val="left" w:pos="709" w:leader="none"/>
        </w:tabs>
        <w:ind w:firstLine="397" w:right="170"/>
        <w:rPr>
          <w:sz w:val="25"/>
          <w:szCs w:val="25"/>
        </w:rPr>
      </w:pPr>
      <w:r>
        <w:rPr>
          <w:sz w:val="25"/>
          <w:szCs w:val="25"/>
        </w:rPr>
        <w:t xml:space="preserve"> </w:t>
      </w:r>
      <w:r>
        <w:rPr>
          <w:sz w:val="25"/>
          <w:szCs w:val="25"/>
        </w:rPr>
        <w:t>Все доходы, поступившие в бюджет района, классифицируются по кодам бюджетной классификации РФ и учитываются в краткой справке о доходах. Записи в справку производятся ежедневно на основании ведомости кассовых поступлений по доходам.</w:t>
      </w:r>
    </w:p>
    <w:p>
      <w:pPr>
        <w:pStyle w:val="Normal"/>
        <w:tabs>
          <w:tab w:val="clear" w:pos="720"/>
          <w:tab w:val="left" w:pos="709" w:leader="none"/>
        </w:tabs>
        <w:ind w:firstLine="540" w:right="176"/>
        <w:rPr/>
      </w:pPr>
      <w:r>
        <w:rPr>
          <w:sz w:val="25"/>
          <w:szCs w:val="25"/>
        </w:rPr>
        <w:t>При обслуживании получателей бюджетных средств в отделе казначейского исполнения местного бюджета Комитета по финансам администрации Тулунского муниципального района бюджетный учет ведется в разрезе лицевых счетов получателей средств по кодам функциональной, ведомственной и экономической классификации расходов бюджетной классификации РФ на основании сводной ведомости по кассовым выплатам из бюджета. Суммы расходов по данной ведомости автоматически заносятся в оборотную ведомость и главную книгу. Данные главной книги являются основой для формирования баланса исполнения бюджета Тулунского муниципального района. Баланс характеризует общее финансовое положение по результатам исполнения районного бюджета отчетного года и прошлых лет.</w:t>
      </w:r>
    </w:p>
    <w:p>
      <w:pPr>
        <w:pStyle w:val="Normal"/>
        <w:ind w:firstLine="540" w:right="176"/>
        <w:rPr>
          <w:sz w:val="25"/>
          <w:szCs w:val="25"/>
        </w:rPr>
      </w:pPr>
      <w:r>
        <w:rPr>
          <w:sz w:val="25"/>
          <w:szCs w:val="25"/>
        </w:rPr>
        <w:t>Годовая бюджетная отчетность Тулунского муниципального района за 2025 год соответствует перечню и формам, установленным Бюджетным кодексом РФ, требованиям Инструкции о порядке составления и предоставления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w:t>
      </w:r>
    </w:p>
    <w:p>
      <w:pPr>
        <w:pStyle w:val="Normal"/>
        <w:tabs>
          <w:tab w:val="clear" w:pos="720"/>
          <w:tab w:val="left" w:pos="1080" w:leader="none"/>
        </w:tabs>
        <w:rPr/>
      </w:pPr>
      <w:r>
        <w:rPr>
          <w:sz w:val="25"/>
          <w:szCs w:val="25"/>
        </w:rPr>
        <w:t xml:space="preserve">Анализ </w:t>
      </w:r>
      <w:r>
        <w:rPr>
          <w:sz w:val="25"/>
          <w:szCs w:val="25"/>
          <w:shd w:fill="FFFFFF" w:val="clear"/>
        </w:rPr>
        <w:t>внешней проверки бюджетной отчетности</w:t>
      </w:r>
      <w:r>
        <w:rPr>
          <w:sz w:val="25"/>
          <w:szCs w:val="25"/>
        </w:rPr>
        <w:t xml:space="preserve"> главных распорядителей бюджетных средств, показал, что имело место неисполнение лимитов бюджетных обязательств. Причины неисполнения лимитов бюджетных обязательств указаны в данном Заключении в п.5 «Анализ исполнения расходной части бюджета».</w:t>
      </w:r>
    </w:p>
    <w:p>
      <w:pPr>
        <w:pStyle w:val="Normal"/>
        <w:tabs>
          <w:tab w:val="clear" w:pos="720"/>
          <w:tab w:val="left" w:pos="709" w:leader="none"/>
        </w:tabs>
        <w:rPr>
          <w:sz w:val="25"/>
          <w:szCs w:val="25"/>
          <w:shd w:fill="FFFFFF" w:val="clear"/>
        </w:rPr>
      </w:pPr>
      <w:r>
        <w:rPr>
          <w:sz w:val="25"/>
          <w:szCs w:val="25"/>
          <w:shd w:fill="FFFFFF" w:val="clear"/>
        </w:rPr>
        <w:t>Анализ результатов внешней проверки Контрольно-счетной палатой муниципального образования «Тулунский район» бюджетной отчетности главных распорядителей бюджетных средств, показал:</w:t>
      </w:r>
    </w:p>
    <w:p>
      <w:pPr>
        <w:pStyle w:val="Normal"/>
        <w:tabs>
          <w:tab w:val="clear" w:pos="720"/>
          <w:tab w:val="left" w:pos="709" w:leader="none"/>
        </w:tabs>
        <w:rPr/>
      </w:pPr>
      <w:r>
        <w:rPr>
          <w:color w:val="000000"/>
          <w:sz w:val="25"/>
          <w:szCs w:val="25"/>
        </w:rPr>
        <w:t xml:space="preserve">В нарушение части 1 статьи 13 Федерального закона от 06.12.2011г. №402-ФЗ «О бухгалтерском учете», пункта 167 Инструкции №191н, в сведениях по дебиторской и кредиторской задолженности (ф. 0503169) и в пояснительной записке (ф. 0503160) не отражена кредиторская задолженность в сумме 63,9 тыс. руб.    за услуги по отлову безнадзорных животных (счет-фактура № 8-Ту от 29.12.2025г.; акт о приемке оказанных услуг № 8-Ту от 29.12.2025г.). </w:t>
      </w:r>
    </w:p>
    <w:p>
      <w:pPr>
        <w:pStyle w:val="Normal"/>
        <w:tabs>
          <w:tab w:val="clear" w:pos="720"/>
          <w:tab w:val="left" w:pos="709" w:leader="none"/>
        </w:tabs>
        <w:rPr/>
      </w:pPr>
      <w:r>
        <w:rPr>
          <w:color w:val="000000"/>
          <w:sz w:val="25"/>
          <w:szCs w:val="25"/>
        </w:rPr>
        <w:t xml:space="preserve">В нарушение п.10 Приказа Минфина России от 15.11.2019г. № 184н «Об утверждении федерального стандарта бухгалтерского учета государственных финансов «Выплаты персоналу» в учетной политике Администрации Тулунского муниципального района отсутствует порядок расчетов резерва предстоящих расходов. </w:t>
      </w:r>
      <w:r>
        <w:rPr>
          <w:color w:val="000000"/>
          <w:sz w:val="25"/>
          <w:szCs w:val="25"/>
          <w:shd w:fill="FFFF00" w:val="clear"/>
        </w:rPr>
        <w:t xml:space="preserve"> </w:t>
      </w:r>
    </w:p>
    <w:p>
      <w:pPr>
        <w:pStyle w:val="Normal"/>
        <w:ind w:hanging="0" w:right="0"/>
        <w:rPr/>
      </w:pPr>
      <w:r>
        <w:rPr>
          <w:sz w:val="25"/>
          <w:szCs w:val="25"/>
        </w:rPr>
        <w:t xml:space="preserve">    </w:t>
      </w:r>
      <w:r>
        <w:rPr>
          <w:color w:val="000000"/>
          <w:sz w:val="25"/>
          <w:szCs w:val="25"/>
          <w:lang w:eastAsia="en-US"/>
        </w:rPr>
        <w:t>В нарушение части 1 статьи 13 Федерального закона от 06.12.2011г. №402-ФЗ «О бухгалтерском учете», пункта 167 Инструкции №191н, в сведениях по дебиторской и кредиторской задолженности (ф. 0503169) в разделе 2 и в пояснительной записке (ф. 0503160) не отражена просроченная дебиторская задолженность по счету 206.23 «Расчеты по выданным авансам по коммунальным услугам» по МКУ «Спортивная школа»  в сумме 510,7 тыс. руб. за тепловую энергию МУСХП «Центральное».</w:t>
      </w:r>
    </w:p>
    <w:p>
      <w:pPr>
        <w:pStyle w:val="Normal"/>
        <w:tabs>
          <w:tab w:val="clear" w:pos="720"/>
          <w:tab w:val="left" w:pos="709" w:leader="none"/>
        </w:tabs>
        <w:ind w:hanging="0" w:right="0"/>
        <w:rPr/>
      </w:pPr>
      <w:r>
        <w:rPr>
          <w:color w:val="000000"/>
          <w:sz w:val="25"/>
          <w:szCs w:val="25"/>
          <w:lang w:eastAsia="en-US"/>
        </w:rPr>
        <w:t>При проверке главной книги (ф. 0504072) и оборотно-сольдовой ведомости по счету 303.00 «Расчеты по платежам в бюджеты» по учреждениям: МКУК «Межпоселенческая центральная библиотека им. Г.С. Виноградова» Тулунского муниципального района, МКУ «Обслуживающий центр» Тулунского муниципального района, МКУК «Межпоселенческий организационно - методический центр» Тулунского муниципального района, МКУ «Спортивная школа» Тулунского  муниципального района, МКУК «МДК Прометей», МКУК «Центр ремесел» Тулунского  муниципального района и МКОУ «Детская школа искусств с.Шерагул» Тулунского  муниципального  района, установлено, что в регистрах бухгалтерского учета не отражены суммы начисленного и уплаченного земельного и транспортного налогов по счету 303.14 «Расчеты по единому налоговому платежу» (ЕНП) в общей сумме 59,4тыс. руб.</w:t>
      </w:r>
    </w:p>
    <w:p>
      <w:pPr>
        <w:pStyle w:val="Normal"/>
        <w:tabs>
          <w:tab w:val="clear" w:pos="720"/>
          <w:tab w:val="left" w:pos="709" w:leader="none"/>
        </w:tabs>
        <w:ind w:firstLine="454" w:right="0"/>
        <w:rPr>
          <w:color w:val="000000"/>
          <w:sz w:val="25"/>
          <w:szCs w:val="25"/>
          <w:shd w:fill="FFFFFF" w:val="clear"/>
          <w:lang w:eastAsia="en-US"/>
        </w:rPr>
      </w:pPr>
      <w:r>
        <w:rPr>
          <w:color w:val="000000"/>
          <w:sz w:val="25"/>
          <w:szCs w:val="25"/>
          <w:lang w:eastAsia="en-US"/>
        </w:rPr>
        <w:t xml:space="preserve">При выборочной проверке договоров возмездного оказания услуг установлено, что имеет место несвоевременная оплата по договорам, заключенным  МКУК «МДК «Прометей» с ООО АГЕНСТВО ТВОРЧЕСКИХ СОБЫТИЙ «АРТ», с ОГБУК ансамбль «Степные напевы». Начисление пени «Заказчику» по договору за несвоевременную оплату не производилось. </w:t>
      </w:r>
    </w:p>
    <w:p>
      <w:pPr>
        <w:pStyle w:val="Normal"/>
        <w:tabs>
          <w:tab w:val="clear" w:pos="720"/>
          <w:tab w:val="left" w:pos="709" w:leader="none"/>
        </w:tabs>
        <w:ind w:firstLine="57" w:right="170"/>
        <w:rPr/>
      </w:pPr>
      <w:r>
        <w:rPr>
          <w:b/>
          <w:sz w:val="25"/>
          <w:szCs w:val="25"/>
          <w:shd w:fill="FFFFFF" w:val="clear"/>
        </w:rPr>
        <w:t xml:space="preserve">  </w:t>
      </w:r>
      <w:r>
        <w:rPr>
          <w:sz w:val="25"/>
          <w:szCs w:val="25"/>
        </w:rPr>
        <w:t xml:space="preserve">  </w:t>
      </w:r>
      <w:r>
        <w:rPr/>
        <w:t>Следует отметить, что выявленные факты нарушений ведения бухгалтерского учета, составления и представления бухгалтерской (финансовой) отчетности не привели к искажению показателей годовой бюджетной отчетности об исполнении  бюджета  Тулунского муниципального района за 2025 год, в части отражения плановых и фактических объемов доходов, расходов, поступлений и выбытий источников финансирования дефицита  бюджета. Таким образом, сводная годовая бюджетная отчетность об исполнении  бюджета Тулунского муниципального района  за 2025 год является достоверной.</w:t>
      </w:r>
    </w:p>
    <w:p>
      <w:pPr>
        <w:pStyle w:val="Normal"/>
        <w:tabs>
          <w:tab w:val="clear" w:pos="720"/>
          <w:tab w:val="left" w:pos="709" w:leader="none"/>
        </w:tabs>
        <w:rPr/>
      </w:pPr>
      <w:r>
        <w:rPr/>
      </w:r>
    </w:p>
    <w:p>
      <w:pPr>
        <w:pStyle w:val="Normal"/>
        <w:tabs>
          <w:tab w:val="clear" w:pos="720"/>
          <w:tab w:val="left" w:pos="709" w:leader="none"/>
        </w:tabs>
        <w:jc w:val="center"/>
        <w:rPr/>
      </w:pPr>
      <w:r>
        <w:rPr>
          <w:b/>
          <w:sz w:val="25"/>
          <w:szCs w:val="25"/>
          <w:shd w:fill="FFFFFF" w:val="clear"/>
        </w:rPr>
        <w:t xml:space="preserve">       </w:t>
      </w:r>
      <w:r>
        <w:rPr>
          <w:b/>
          <w:sz w:val="25"/>
          <w:szCs w:val="25"/>
        </w:rPr>
        <w:t xml:space="preserve"> </w:t>
      </w:r>
      <w:r>
        <w:rPr>
          <w:b/>
          <w:sz w:val="25"/>
          <w:szCs w:val="25"/>
        </w:rPr>
        <w:t>4. Организация исполнения доходной части.</w:t>
      </w:r>
    </w:p>
    <w:p>
      <w:pPr>
        <w:pStyle w:val="Normal"/>
        <w:tabs>
          <w:tab w:val="clear" w:pos="720"/>
          <w:tab w:val="left" w:pos="709" w:leader="none"/>
          <w:tab w:val="left" w:pos="1080" w:leader="none"/>
        </w:tabs>
        <w:ind w:hanging="0" w:right="176"/>
        <w:jc w:val="center"/>
        <w:rPr>
          <w:b/>
          <w:sz w:val="25"/>
          <w:szCs w:val="25"/>
        </w:rPr>
      </w:pPr>
      <w:r>
        <w:rPr>
          <w:b/>
          <w:sz w:val="25"/>
          <w:szCs w:val="25"/>
        </w:rPr>
      </w:r>
    </w:p>
    <w:p>
      <w:pPr>
        <w:pStyle w:val="Normal"/>
        <w:tabs>
          <w:tab w:val="clear" w:pos="720"/>
          <w:tab w:val="left" w:pos="709" w:leader="none"/>
        </w:tabs>
        <w:rPr/>
      </w:pPr>
      <w:r>
        <w:rPr>
          <w:sz w:val="25"/>
          <w:szCs w:val="25"/>
        </w:rPr>
        <w:t>Согласно отчета об исполнении бюджета Тулунского муниципального района за 2025 год исполнение в целом по доходам районного бюджета составило 2 242 918,3 тыс. руб. или 99,9% к уточненному плану на год. Достоверность поступлений по доходам бюджета Тулунского муниципального района, отраженных в Отчете об исполнении бюджета Тулунского муниципального района за 2025г. в форме № 0503117, подтверждена Отчетом Управления Федерального казначейства по Иркутской области по поступлениям и выбытиям ф. № 0503151 по состоянию на 1.01.2026г.</w:t>
      </w:r>
    </w:p>
    <w:p>
      <w:pPr>
        <w:pStyle w:val="Normal"/>
        <w:tabs>
          <w:tab w:val="clear" w:pos="720"/>
          <w:tab w:val="left" w:pos="709" w:leader="none"/>
          <w:tab w:val="left" w:pos="1134" w:leader="none"/>
        </w:tabs>
        <w:ind w:hanging="851" w:right="0"/>
        <w:rPr/>
      </w:pPr>
      <w:r>
        <w:rPr>
          <w:sz w:val="25"/>
          <w:szCs w:val="25"/>
        </w:rPr>
        <w:t xml:space="preserve">                   </w:t>
      </w:r>
      <w:r>
        <w:rPr>
          <w:sz w:val="25"/>
          <w:szCs w:val="25"/>
        </w:rPr>
        <w:t>По сравнению с 2024 годом объем доходов местного бюджета в 2025 году увеличился на 191 252,7 тыс. руб.</w:t>
      </w:r>
    </w:p>
    <w:p>
      <w:pPr>
        <w:pStyle w:val="Normal"/>
        <w:ind w:hanging="0" w:right="0"/>
        <w:rPr/>
      </w:pPr>
      <w:r>
        <w:rPr>
          <w:sz w:val="25"/>
          <w:szCs w:val="25"/>
        </w:rPr>
        <w:t xml:space="preserve">     </w:t>
      </w:r>
      <w:r>
        <w:rPr>
          <w:sz w:val="25"/>
          <w:szCs w:val="25"/>
        </w:rPr>
        <w:t>Налоговые и неналоговые доходы исполнены в сумме 334 511,9 тыс. руб., что составляет 104,3% от уточненного плана года и 166,1 % от фактического поступления за 2024 год. В отчетном году поступило больше, чем в 2024 году собственных доходов на 133 121,6 тыс. руб. больше,  поступило налога на доходы физических лиц на 60 756,4 тыс. руб. (221 942,6 тыс. руб.), налоги на совокупный доход</w:t>
      </w:r>
      <w:r>
        <w:rPr>
          <w:color w:val="000000"/>
          <w:sz w:val="25"/>
          <w:szCs w:val="25"/>
        </w:rPr>
        <w:t xml:space="preserve"> увеличилась на 4 801,6 тыс. руб. (15 338,7 тыс. руб.) Доходы от использования имущества, находящегося в муниципальной собственности увеличились на 22 936,6 тыс. руб. (29126,2тыс. руб.)</w:t>
      </w:r>
    </w:p>
    <w:p>
      <w:pPr>
        <w:pStyle w:val="Normal"/>
        <w:tabs>
          <w:tab w:val="clear" w:pos="720"/>
          <w:tab w:val="left" w:pos="709" w:leader="none"/>
          <w:tab w:val="left" w:pos="1080" w:leader="none"/>
        </w:tabs>
        <w:ind w:hanging="0" w:right="0"/>
        <w:rPr/>
      </w:pPr>
      <w:r>
        <w:rPr>
          <w:sz w:val="25"/>
          <w:szCs w:val="25"/>
        </w:rPr>
        <w:t xml:space="preserve">        </w:t>
      </w:r>
      <w:r>
        <w:rPr>
          <w:sz w:val="25"/>
          <w:szCs w:val="25"/>
        </w:rPr>
        <w:t xml:space="preserve">Безвозмездные поступления исполнены в 2025 году в сумме </w:t>
      </w:r>
      <w:r>
        <w:rPr>
          <w:color w:val="000000"/>
          <w:sz w:val="25"/>
          <w:szCs w:val="25"/>
        </w:rPr>
        <w:t>1 908 406,4</w:t>
      </w:r>
      <w:r>
        <w:rPr>
          <w:sz w:val="25"/>
          <w:szCs w:val="25"/>
        </w:rPr>
        <w:t xml:space="preserve"> тыс. руб., что составляет 99,2% от уточненного плана года и 103,1% от фактического поступления за 2024 год. В отчетном году поступило больше, чем в 2024 году безвозмездных поступлений на</w:t>
      </w:r>
      <w:r>
        <w:rPr>
          <w:sz w:val="25"/>
          <w:szCs w:val="25"/>
          <w:shd w:fill="auto" w:val="clear"/>
        </w:rPr>
        <w:t xml:space="preserve"> 58 131,1 ты</w:t>
      </w:r>
      <w:r>
        <w:rPr>
          <w:sz w:val="25"/>
          <w:szCs w:val="25"/>
        </w:rPr>
        <w:t>с. руб.</w:t>
      </w:r>
    </w:p>
    <w:p>
      <w:pPr>
        <w:pStyle w:val="Normal"/>
        <w:tabs>
          <w:tab w:val="clear" w:pos="720"/>
          <w:tab w:val="left" w:pos="709" w:leader="none"/>
          <w:tab w:val="left" w:pos="1080" w:leader="none"/>
        </w:tabs>
        <w:ind w:firstLine="709" w:right="27"/>
        <w:rPr/>
      </w:pPr>
      <w:r>
        <w:rPr>
          <w:sz w:val="25"/>
          <w:szCs w:val="25"/>
        </w:rPr>
        <w:t>Доля собственных доходов в общем поступлении отчетного года составляет 14,9%, доля безвозмездных поступлений – 85,1%. Доля собственных доходов   в бюджете района, по сравнению с 2024 годом, увеличилась на 5,1%, доля безвозмездных поступлений в бюджете района, соответственно снизилась на указанный процент.</w:t>
      </w:r>
    </w:p>
    <w:p>
      <w:pPr>
        <w:pStyle w:val="Normal"/>
        <w:ind w:firstLine="709" w:right="27"/>
        <w:rPr/>
      </w:pPr>
      <w:r>
        <w:rPr>
          <w:sz w:val="25"/>
          <w:szCs w:val="25"/>
        </w:rPr>
        <w:t xml:space="preserve"> </w:t>
      </w:r>
      <w:r>
        <w:rPr/>
        <w:t xml:space="preserve">Всего на территории Тулунского муниципального района за 2025 год было собрано регулируемых налогов сборов и неналоговых доходов в консолидированный бюджет Иркутской области в сумме 1 707 803,7 тыс. руб. Собранные средства распределены по уровням бюджетной системы в следующих пропорциях:   </w:t>
      </w:r>
    </w:p>
    <w:p>
      <w:pPr>
        <w:pStyle w:val="Normal"/>
        <w:rPr/>
      </w:pPr>
      <w:r>
        <w:rPr/>
        <w:t xml:space="preserve">                        </w:t>
      </w:r>
    </w:p>
    <w:tbl>
      <w:tblPr>
        <w:tblW w:w="9493" w:type="dxa"/>
        <w:jc w:val="left"/>
        <w:tblInd w:w="-25" w:type="dxa"/>
        <w:tblLayout w:type="fixed"/>
        <w:tblCellMar>
          <w:top w:w="0" w:type="dxa"/>
          <w:left w:w="108" w:type="dxa"/>
          <w:bottom w:w="0" w:type="dxa"/>
          <w:right w:w="108" w:type="dxa"/>
        </w:tblCellMar>
        <w:tblLook w:firstRow="1" w:noVBand="1" w:lastRow="0" w:firstColumn="1" w:lastColumn="0" w:noHBand="0" w:val="04a0"/>
      </w:tblPr>
      <w:tblGrid>
        <w:gridCol w:w="4250"/>
        <w:gridCol w:w="2602"/>
        <w:gridCol w:w="2641"/>
      </w:tblGrid>
      <w:tr>
        <w:trPr>
          <w:trHeight w:val="540" w:hRule="atLeast"/>
        </w:trPr>
        <w:tc>
          <w:tcPr>
            <w:tcW w:w="4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0"/>
                <w:szCs w:val="20"/>
              </w:rPr>
            </w:pPr>
            <w:r>
              <w:rPr>
                <w:sz w:val="20"/>
                <w:szCs w:val="20"/>
              </w:rPr>
              <w:t>Наименование бюджета</w:t>
            </w:r>
          </w:p>
        </w:tc>
        <w:tc>
          <w:tcPr>
            <w:tcW w:w="2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 xml:space="preserve">   </w:t>
            </w:r>
            <w:r>
              <w:rPr>
                <w:sz w:val="20"/>
                <w:szCs w:val="20"/>
              </w:rPr>
              <w:t>Сумма</w:t>
            </w:r>
          </w:p>
          <w:p>
            <w:pPr>
              <w:pStyle w:val="Normal"/>
              <w:widowControl w:val="false"/>
              <w:jc w:val="center"/>
              <w:rPr>
                <w:sz w:val="20"/>
                <w:szCs w:val="20"/>
              </w:rPr>
            </w:pPr>
            <w:r>
              <w:rPr>
                <w:sz w:val="20"/>
                <w:szCs w:val="20"/>
              </w:rPr>
              <w:t xml:space="preserve">   </w:t>
            </w:r>
            <w:r>
              <w:rPr>
                <w:sz w:val="20"/>
                <w:szCs w:val="20"/>
              </w:rPr>
              <w:t>(тыс. руб.)</w:t>
            </w:r>
          </w:p>
        </w:tc>
        <w:tc>
          <w:tcPr>
            <w:tcW w:w="26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Удельный вес</w:t>
            </w:r>
          </w:p>
          <w:p>
            <w:pPr>
              <w:pStyle w:val="Normal"/>
              <w:widowControl w:val="false"/>
              <w:jc w:val="center"/>
              <w:rPr>
                <w:sz w:val="20"/>
                <w:szCs w:val="20"/>
              </w:rPr>
            </w:pPr>
            <w:r>
              <w:rPr>
                <w:sz w:val="20"/>
                <w:szCs w:val="20"/>
              </w:rPr>
              <w:t>(%)</w:t>
            </w:r>
          </w:p>
        </w:tc>
      </w:tr>
      <w:tr>
        <w:trPr>
          <w:trHeight w:val="276"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Областной</w:t>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1 133 210,3</w:t>
            </w:r>
          </w:p>
        </w:tc>
        <w:tc>
          <w:tcPr>
            <w:tcW w:w="26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78,3</w:t>
            </w:r>
          </w:p>
        </w:tc>
      </w:tr>
      <w:tr>
        <w:trPr>
          <w:trHeight w:val="265"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Районный</w:t>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334 511,9</w:t>
            </w:r>
          </w:p>
        </w:tc>
        <w:tc>
          <w:tcPr>
            <w:tcW w:w="26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19,6</w:t>
            </w:r>
          </w:p>
        </w:tc>
      </w:tr>
      <w:tr>
        <w:trPr>
          <w:trHeight w:val="276"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Сельских поселений</w:t>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36 081,5</w:t>
            </w:r>
          </w:p>
        </w:tc>
        <w:tc>
          <w:tcPr>
            <w:tcW w:w="26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2,1</w:t>
            </w:r>
          </w:p>
        </w:tc>
      </w:tr>
      <w:tr>
        <w:trPr>
          <w:trHeight w:val="345" w:hRule="atLeast"/>
        </w:trPr>
        <w:tc>
          <w:tcPr>
            <w:tcW w:w="425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ВСЕГО</w:t>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1 707 803,7</w:t>
            </w:r>
          </w:p>
        </w:tc>
        <w:tc>
          <w:tcPr>
            <w:tcW w:w="26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100,0</w:t>
            </w:r>
          </w:p>
        </w:tc>
      </w:tr>
    </w:tbl>
    <w:p>
      <w:pPr>
        <w:pStyle w:val="Normal"/>
        <w:ind w:firstLine="709" w:right="27"/>
        <w:rPr/>
      </w:pPr>
      <w:r>
        <w:rPr/>
        <w:t xml:space="preserve">                                                         </w:t>
      </w:r>
    </w:p>
    <w:p>
      <w:pPr>
        <w:pStyle w:val="Normal"/>
        <w:jc w:val="center"/>
        <w:rPr>
          <w:sz w:val="25"/>
          <w:szCs w:val="25"/>
        </w:rPr>
      </w:pPr>
      <w:r>
        <w:rPr>
          <w:sz w:val="25"/>
          <w:szCs w:val="25"/>
        </w:rPr>
        <w:t xml:space="preserve">Исполнение бюджета за 2025 год по доходам представлено в следующей таблице: </w:t>
      </w:r>
    </w:p>
    <w:p>
      <w:pPr>
        <w:pStyle w:val="Normal"/>
        <w:jc w:val="center"/>
        <w:rPr/>
      </w:pPr>
      <w:r>
        <w:rPr>
          <w:rFonts w:eastAsia="Liberation Serif;Times New Roma" w:cs="Liberation Serif;Times New Roma"/>
          <w:sz w:val="25"/>
          <w:szCs w:val="25"/>
        </w:rPr>
        <w:t xml:space="preserve">                                                                                                          </w:t>
      </w:r>
      <w:r>
        <w:rPr>
          <w:sz w:val="25"/>
          <w:szCs w:val="25"/>
        </w:rPr>
        <w:t xml:space="preserve">(тыс. руб.)  </w:t>
      </w:r>
    </w:p>
    <w:tbl>
      <w:tblPr>
        <w:tblW w:w="9696" w:type="dxa"/>
        <w:jc w:val="left"/>
        <w:tblInd w:w="-218" w:type="dxa"/>
        <w:tblLayout w:type="fixed"/>
        <w:tblCellMar>
          <w:top w:w="55" w:type="dxa"/>
          <w:left w:w="55" w:type="dxa"/>
          <w:bottom w:w="55" w:type="dxa"/>
          <w:right w:w="55" w:type="dxa"/>
        </w:tblCellMar>
        <w:tblLook w:firstRow="1" w:noVBand="1" w:lastRow="0" w:firstColumn="1" w:lastColumn="0" w:noHBand="0" w:val="04a0"/>
      </w:tblPr>
      <w:tblGrid>
        <w:gridCol w:w="2490"/>
        <w:gridCol w:w="745"/>
        <w:gridCol w:w="2155"/>
        <w:gridCol w:w="1359"/>
        <w:gridCol w:w="1244"/>
        <w:gridCol w:w="1080"/>
        <w:gridCol w:w="622"/>
      </w:tblGrid>
      <w:tr>
        <w:trPr/>
        <w:tc>
          <w:tcPr>
            <w:tcW w:w="2490" w:type="dxa"/>
            <w:vMerge w:val="restart"/>
            <w:tcBorders>
              <w:top w:val="single" w:sz="4" w:space="0" w:color="000000"/>
              <w:left w:val="single" w:sz="4" w:space="0" w:color="000000"/>
              <w:bottom w:val="single" w:sz="4" w:space="0" w:color="000000"/>
            </w:tcBorders>
          </w:tcPr>
          <w:p>
            <w:pPr>
              <w:pStyle w:val="Normal"/>
              <w:widowControl w:val="false"/>
              <w:jc w:val="center"/>
              <w:rPr>
                <w:b/>
                <w:bCs/>
                <w:sz w:val="18"/>
                <w:szCs w:val="18"/>
              </w:rPr>
            </w:pPr>
            <w:r>
              <w:rPr>
                <w:b/>
                <w:bCs/>
                <w:sz w:val="18"/>
                <w:szCs w:val="18"/>
              </w:rPr>
              <w:t>Наименование</w:t>
            </w:r>
          </w:p>
        </w:tc>
        <w:tc>
          <w:tcPr>
            <w:tcW w:w="2900" w:type="dxa"/>
            <w:gridSpan w:val="2"/>
            <w:tcBorders>
              <w:top w:val="single" w:sz="4" w:space="0" w:color="000000"/>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Код бюджетной классификации Российской Федерации</w:t>
            </w:r>
          </w:p>
        </w:tc>
        <w:tc>
          <w:tcPr>
            <w:tcW w:w="1359" w:type="dxa"/>
            <w:vMerge w:val="restart"/>
            <w:tcBorders>
              <w:top w:val="single" w:sz="4" w:space="0" w:color="000000"/>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План 2025 сумма</w:t>
            </w:r>
          </w:p>
        </w:tc>
        <w:tc>
          <w:tcPr>
            <w:tcW w:w="1244" w:type="dxa"/>
            <w:vMerge w:val="restart"/>
            <w:tcBorders>
              <w:top w:val="single" w:sz="4" w:space="0" w:color="000000"/>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Кассовое исполнение на 01.01.2026</w:t>
            </w:r>
          </w:p>
        </w:tc>
        <w:tc>
          <w:tcPr>
            <w:tcW w:w="1080" w:type="dxa"/>
            <w:vMerge w:val="restart"/>
            <w:tcBorders>
              <w:top w:val="single" w:sz="4" w:space="0" w:color="000000"/>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Выполнение плана в % к годовым назначениям</w:t>
            </w:r>
          </w:p>
        </w:tc>
        <w:tc>
          <w:tcPr>
            <w:tcW w:w="62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right="176"/>
              <w:jc w:val="center"/>
              <w:rPr>
                <w:b/>
                <w:bCs/>
                <w:sz w:val="18"/>
                <w:szCs w:val="18"/>
              </w:rPr>
            </w:pPr>
            <w:r>
              <w:rPr>
                <w:b/>
                <w:bCs/>
                <w:sz w:val="18"/>
                <w:szCs w:val="18"/>
              </w:rPr>
              <w:t>Удельный вес  в %</w:t>
            </w:r>
          </w:p>
        </w:tc>
      </w:tr>
      <w:tr>
        <w:trPr/>
        <w:tc>
          <w:tcPr>
            <w:tcW w:w="2490" w:type="dxa"/>
            <w:vMerge w:val="continue"/>
            <w:tcBorders>
              <w:top w:val="single" w:sz="4" w:space="0" w:color="000000"/>
              <w:left w:val="single" w:sz="4" w:space="0" w:color="000000"/>
              <w:bottom w:val="single" w:sz="4" w:space="0" w:color="000000"/>
            </w:tcBorders>
          </w:tcPr>
          <w:p>
            <w:pPr>
              <w:pStyle w:val="Normal"/>
              <w:widowControl w:val="false"/>
              <w:rPr/>
            </w:pPr>
            <w:r>
              <w:rPr/>
            </w:r>
          </w:p>
        </w:tc>
        <w:tc>
          <w:tcPr>
            <w:tcW w:w="745"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главного админи-стратора доходов</w:t>
            </w:r>
          </w:p>
        </w:tc>
        <w:tc>
          <w:tcPr>
            <w:tcW w:w="2155"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доходов районного бюджета</w:t>
            </w:r>
          </w:p>
        </w:tc>
        <w:tc>
          <w:tcPr>
            <w:tcW w:w="1359" w:type="dxa"/>
            <w:vMerge w:val="continue"/>
            <w:tcBorders>
              <w:top w:val="single" w:sz="4" w:space="0" w:color="000000"/>
              <w:left w:val="single" w:sz="4" w:space="0" w:color="000000"/>
              <w:bottom w:val="single" w:sz="4" w:space="0" w:color="000000"/>
            </w:tcBorders>
          </w:tcPr>
          <w:p>
            <w:pPr>
              <w:pStyle w:val="Normal"/>
              <w:widowControl w:val="false"/>
              <w:rPr/>
            </w:pPr>
            <w:r>
              <w:rPr/>
            </w:r>
          </w:p>
        </w:tc>
        <w:tc>
          <w:tcPr>
            <w:tcW w:w="1244" w:type="dxa"/>
            <w:vMerge w:val="continue"/>
            <w:tcBorders>
              <w:top w:val="single" w:sz="4" w:space="0" w:color="000000"/>
              <w:left w:val="single" w:sz="4" w:space="0" w:color="000000"/>
              <w:bottom w:val="single" w:sz="4" w:space="0" w:color="000000"/>
            </w:tcBorders>
          </w:tcPr>
          <w:p>
            <w:pPr>
              <w:pStyle w:val="Normal"/>
              <w:widowControl w:val="false"/>
              <w:rPr/>
            </w:pPr>
            <w:r>
              <w:rPr/>
            </w:r>
          </w:p>
        </w:tc>
        <w:tc>
          <w:tcPr>
            <w:tcW w:w="1080" w:type="dxa"/>
            <w:vMerge w:val="continue"/>
            <w:tcBorders>
              <w:top w:val="single" w:sz="4" w:space="0" w:color="000000"/>
              <w:left w:val="single" w:sz="4" w:space="0" w:color="000000"/>
              <w:bottom w:val="single" w:sz="4" w:space="0" w:color="000000"/>
            </w:tcBorders>
          </w:tcPr>
          <w:p>
            <w:pPr>
              <w:pStyle w:val="Normal"/>
              <w:widowControl w:val="false"/>
              <w:rPr/>
            </w:pPr>
            <w:r>
              <w:rPr/>
            </w:r>
          </w:p>
        </w:tc>
        <w:tc>
          <w:tcPr>
            <w:tcW w:w="62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2490" w:type="dxa"/>
            <w:tcBorders>
              <w:left w:val="single" w:sz="4" w:space="0" w:color="000000"/>
              <w:bottom w:val="single" w:sz="4" w:space="0" w:color="000000"/>
            </w:tcBorders>
          </w:tcPr>
          <w:p>
            <w:pPr>
              <w:pStyle w:val="Normal"/>
              <w:widowControl w:val="false"/>
              <w:jc w:val="center"/>
              <w:rPr>
                <w:b/>
                <w:bCs/>
                <w:sz w:val="16"/>
                <w:szCs w:val="16"/>
              </w:rPr>
            </w:pPr>
            <w:r>
              <w:rPr>
                <w:b/>
                <w:bCs/>
                <w:sz w:val="16"/>
                <w:szCs w:val="16"/>
              </w:rPr>
              <w:t>НАЛОГОВЫЕ И НЕНАЛОГОВЫЕ ДОХОДЫ</w:t>
            </w:r>
          </w:p>
        </w:tc>
        <w:tc>
          <w:tcPr>
            <w:tcW w:w="745" w:type="dxa"/>
            <w:tcBorders>
              <w:left w:val="single" w:sz="4" w:space="0" w:color="000000"/>
              <w:bottom w:val="single" w:sz="4" w:space="0" w:color="000000"/>
            </w:tcBorders>
          </w:tcPr>
          <w:p>
            <w:pPr>
              <w:pStyle w:val="Normal"/>
              <w:widowControl w:val="false"/>
              <w:ind w:hanging="0" w:right="176"/>
              <w:jc w:val="center"/>
              <w:rPr>
                <w:b/>
                <w:bCs/>
                <w:sz w:val="16"/>
                <w:szCs w:val="16"/>
              </w:rPr>
            </w:pPr>
            <w:r>
              <w:rPr>
                <w:b/>
                <w:bCs/>
                <w:sz w:val="16"/>
                <w:szCs w:val="16"/>
              </w:rPr>
              <w:t>000</w:t>
            </w:r>
          </w:p>
        </w:tc>
        <w:tc>
          <w:tcPr>
            <w:tcW w:w="2155" w:type="dxa"/>
            <w:tcBorders>
              <w:left w:val="single" w:sz="4" w:space="0" w:color="000000"/>
              <w:bottom w:val="single" w:sz="4" w:space="0" w:color="000000"/>
            </w:tcBorders>
          </w:tcPr>
          <w:p>
            <w:pPr>
              <w:pStyle w:val="Normal"/>
              <w:widowControl w:val="false"/>
              <w:ind w:hanging="0" w:right="176"/>
              <w:jc w:val="center"/>
              <w:rPr>
                <w:b/>
                <w:bCs/>
                <w:sz w:val="16"/>
                <w:szCs w:val="16"/>
              </w:rPr>
            </w:pPr>
            <w:r>
              <w:rPr>
                <w:b/>
                <w:bCs/>
                <w:sz w:val="16"/>
                <w:szCs w:val="16"/>
              </w:rPr>
              <w:t>1 00 00000 00 0000 000</w:t>
            </w:r>
          </w:p>
        </w:tc>
        <w:tc>
          <w:tcPr>
            <w:tcW w:w="1359" w:type="dxa"/>
            <w:tcBorders>
              <w:left w:val="single" w:sz="4" w:space="0" w:color="000000"/>
              <w:bottom w:val="single" w:sz="4" w:space="0" w:color="000000"/>
            </w:tcBorders>
          </w:tcPr>
          <w:p>
            <w:pPr>
              <w:pStyle w:val="Normal"/>
              <w:widowControl w:val="false"/>
              <w:ind w:hanging="0" w:right="176"/>
              <w:jc w:val="center"/>
              <w:rPr>
                <w:b/>
                <w:bCs/>
                <w:sz w:val="16"/>
                <w:szCs w:val="16"/>
              </w:rPr>
            </w:pPr>
            <w:r>
              <w:rPr>
                <w:b/>
                <w:bCs/>
                <w:sz w:val="16"/>
                <w:szCs w:val="16"/>
              </w:rPr>
              <w:t>320792,11</w:t>
            </w:r>
          </w:p>
        </w:tc>
        <w:tc>
          <w:tcPr>
            <w:tcW w:w="1244" w:type="dxa"/>
            <w:tcBorders>
              <w:left w:val="single" w:sz="4" w:space="0" w:color="000000"/>
              <w:bottom w:val="single" w:sz="4" w:space="0" w:color="000000"/>
            </w:tcBorders>
          </w:tcPr>
          <w:p>
            <w:pPr>
              <w:pStyle w:val="Normal"/>
              <w:widowControl w:val="false"/>
              <w:ind w:hanging="0" w:right="176"/>
              <w:jc w:val="center"/>
              <w:rPr>
                <w:b/>
                <w:bCs/>
                <w:sz w:val="16"/>
                <w:szCs w:val="16"/>
              </w:rPr>
            </w:pPr>
            <w:r>
              <w:rPr>
                <w:b/>
                <w:bCs/>
                <w:sz w:val="16"/>
                <w:szCs w:val="16"/>
              </w:rPr>
              <w:t>334 511,91</w:t>
            </w:r>
          </w:p>
        </w:tc>
        <w:tc>
          <w:tcPr>
            <w:tcW w:w="1080" w:type="dxa"/>
            <w:tcBorders>
              <w:left w:val="single" w:sz="4" w:space="0" w:color="000000"/>
              <w:bottom w:val="single" w:sz="4" w:space="0" w:color="000000"/>
            </w:tcBorders>
          </w:tcPr>
          <w:p>
            <w:pPr>
              <w:pStyle w:val="Normal"/>
              <w:widowControl w:val="false"/>
              <w:ind w:hanging="0" w:right="176"/>
              <w:jc w:val="center"/>
              <w:rPr>
                <w:b/>
                <w:bCs/>
                <w:sz w:val="16"/>
                <w:szCs w:val="16"/>
              </w:rPr>
            </w:pPr>
            <w:r>
              <w:rPr>
                <w:b/>
                <w:bCs/>
                <w:sz w:val="16"/>
                <w:szCs w:val="16"/>
              </w:rPr>
              <w:t>104,3</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b/>
                <w:bCs/>
                <w:sz w:val="16"/>
                <w:szCs w:val="16"/>
              </w:rPr>
            </w:pPr>
            <w:r>
              <w:rPr>
                <w:b/>
                <w:bCs/>
                <w:sz w:val="16"/>
                <w:szCs w:val="16"/>
              </w:rPr>
              <w:t>100,0</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НАЛОГОВЫЕ  ДОХОДЫ</w:t>
            </w:r>
          </w:p>
        </w:tc>
        <w:tc>
          <w:tcPr>
            <w:tcW w:w="745" w:type="dxa"/>
            <w:tcBorders>
              <w:left w:val="single" w:sz="4" w:space="0" w:color="000000"/>
              <w:bottom w:val="single" w:sz="4" w:space="0" w:color="000000"/>
            </w:tcBorders>
          </w:tcPr>
          <w:p>
            <w:pPr>
              <w:pStyle w:val="Normal"/>
              <w:widowControl w:val="false"/>
              <w:jc w:val="center"/>
              <w:rPr>
                <w:sz w:val="16"/>
                <w:szCs w:val="16"/>
              </w:rPr>
            </w:pPr>
            <w:r>
              <w:rPr>
                <w:sz w:val="16"/>
                <w:szCs w:val="16"/>
              </w:rPr>
            </w:r>
          </w:p>
        </w:tc>
        <w:tc>
          <w:tcPr>
            <w:tcW w:w="2155" w:type="dxa"/>
            <w:tcBorders>
              <w:left w:val="single" w:sz="4" w:space="0" w:color="000000"/>
              <w:bottom w:val="single" w:sz="4" w:space="0" w:color="000000"/>
            </w:tcBorders>
          </w:tcPr>
          <w:p>
            <w:pPr>
              <w:pStyle w:val="Normal"/>
              <w:widowControl w:val="false"/>
              <w:jc w:val="center"/>
              <w:rPr>
                <w:sz w:val="16"/>
                <w:szCs w:val="16"/>
              </w:rPr>
            </w:pPr>
            <w:r>
              <w:rPr>
                <w:sz w:val="16"/>
                <w:szCs w:val="16"/>
              </w:rPr>
            </w:r>
          </w:p>
        </w:tc>
        <w:tc>
          <w:tcPr>
            <w:tcW w:w="1359"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266 959,91</w:t>
            </w:r>
          </w:p>
        </w:tc>
        <w:tc>
          <w:tcPr>
            <w:tcW w:w="1244"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277 684,00</w:t>
            </w:r>
          </w:p>
        </w:tc>
        <w:tc>
          <w:tcPr>
            <w:tcW w:w="1080"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104,1</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83,0</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НАЛОГИ НА ПРИБЫЛЬ, ДОХОДЫ</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000</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1 01 00000 00 0000 000</w:t>
            </w:r>
          </w:p>
        </w:tc>
        <w:tc>
          <w:tcPr>
            <w:tcW w:w="1359"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213 005,92</w:t>
            </w:r>
          </w:p>
        </w:tc>
        <w:tc>
          <w:tcPr>
            <w:tcW w:w="1244" w:type="dxa"/>
            <w:tcBorders>
              <w:left w:val="single" w:sz="4" w:space="0" w:color="000000"/>
              <w:bottom w:val="single" w:sz="4" w:space="0" w:color="000000"/>
            </w:tcBorders>
          </w:tcPr>
          <w:p>
            <w:pPr>
              <w:pStyle w:val="Normal"/>
              <w:widowControl w:val="false"/>
              <w:ind w:hanging="0" w:right="176"/>
              <w:jc w:val="center"/>
              <w:rPr>
                <w:sz w:val="16"/>
                <w:szCs w:val="16"/>
                <w:lang w:val="en-US"/>
              </w:rPr>
            </w:pPr>
            <w:r>
              <w:rPr>
                <w:sz w:val="16"/>
                <w:szCs w:val="16"/>
                <w:lang w:val="en-US"/>
              </w:rPr>
              <w:t>221 942,62</w:t>
            </w:r>
          </w:p>
        </w:tc>
        <w:tc>
          <w:tcPr>
            <w:tcW w:w="1080"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109,5</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lang w:val="en-US"/>
              </w:rPr>
            </w:pPr>
            <w:r>
              <w:rPr>
                <w:sz w:val="16"/>
                <w:szCs w:val="16"/>
                <w:lang w:val="en-US"/>
              </w:rPr>
              <w:t>66,3</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Налог на доходы физических лиц</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1 01 02000 01 0000 110</w:t>
            </w:r>
          </w:p>
        </w:tc>
        <w:tc>
          <w:tcPr>
            <w:tcW w:w="1359"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213 005,92</w:t>
            </w:r>
          </w:p>
        </w:tc>
        <w:tc>
          <w:tcPr>
            <w:tcW w:w="1244"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233 285,84</w:t>
            </w:r>
          </w:p>
        </w:tc>
        <w:tc>
          <w:tcPr>
            <w:tcW w:w="1080"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109,5</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lang w:val="en-US"/>
              </w:rPr>
            </w:pPr>
            <w:r>
              <w:rPr>
                <w:sz w:val="16"/>
                <w:szCs w:val="16"/>
                <w:lang w:val="en-US"/>
              </w:rPr>
              <w:t>66,3</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6"/>
                <w:szCs w:val="16"/>
              </w:rPr>
            </w:pPr>
            <w:r>
              <w:rPr>
                <w:color w:val="000000"/>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000 1010201001 0000 110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148 309,30</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154 229,41</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103,9</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lang w:val="en-US"/>
              </w:rPr>
            </w:pPr>
            <w:r>
              <w:rPr>
                <w:color w:val="000000"/>
                <w:sz w:val="16"/>
                <w:szCs w:val="16"/>
                <w:lang w:val="en-US"/>
              </w:rPr>
              <w:t>46,1</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6"/>
                <w:szCs w:val="16"/>
              </w:rPr>
            </w:pPr>
            <w:r>
              <w:rPr>
                <w:color w:val="000000"/>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000 1010202001 0000 110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203,74</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209,26</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102,7</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lang w:val="en-US"/>
              </w:rPr>
            </w:pPr>
            <w:r>
              <w:rPr>
                <w:color w:val="000000"/>
                <w:sz w:val="16"/>
                <w:szCs w:val="16"/>
                <w:lang w:val="en-US"/>
              </w:rPr>
              <w:t>0,1</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6"/>
                <w:szCs w:val="16"/>
              </w:rPr>
            </w:pPr>
            <w:r>
              <w:rPr>
                <w:color w:val="000000"/>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000 1010203001 0000 110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1 007,69</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1 035,57</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102,8</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lang w:val="en-US"/>
              </w:rPr>
            </w:pPr>
            <w:r>
              <w:rPr>
                <w:color w:val="000000"/>
                <w:sz w:val="16"/>
                <w:szCs w:val="16"/>
                <w:lang w:val="en-US"/>
              </w:rPr>
              <w:t>0,3</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6"/>
                <w:szCs w:val="16"/>
              </w:rPr>
            </w:pPr>
            <w:r>
              <w:rPr>
                <w:color w:val="000000"/>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000 1010204001 0000 110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91,58</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91,58</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lang w:val="en-US"/>
              </w:rPr>
            </w:pPr>
            <w:r>
              <w:rPr>
                <w:color w:val="000000"/>
                <w:sz w:val="16"/>
                <w:szCs w:val="16"/>
                <w:lang w:val="en-US"/>
              </w:rPr>
              <w:t>0,03</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6"/>
                <w:szCs w:val="16"/>
              </w:rPr>
            </w:pPr>
            <w:r>
              <w:rPr>
                <w:color w:val="000000"/>
                <w:sz w:val="16"/>
                <w:szCs w:val="16"/>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000 1010208001 0000 110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479,01</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742,02</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154,9</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lang w:val="en-US"/>
              </w:rPr>
            </w:pPr>
            <w:r>
              <w:rPr>
                <w:color w:val="000000"/>
                <w:sz w:val="16"/>
                <w:szCs w:val="16"/>
                <w:lang w:val="en-US"/>
              </w:rPr>
              <w:t>0,2</w:t>
            </w:r>
          </w:p>
        </w:tc>
      </w:tr>
      <w:tr>
        <w:trPr/>
        <w:tc>
          <w:tcPr>
            <w:tcW w:w="2490" w:type="dxa"/>
            <w:tcBorders>
              <w:left w:val="single" w:sz="4" w:space="0" w:color="000000"/>
              <w:bottom w:val="single" w:sz="4" w:space="0" w:color="000000"/>
            </w:tcBorders>
          </w:tcPr>
          <w:p>
            <w:pPr>
              <w:pStyle w:val="Normal"/>
              <w:widowControl w:val="false"/>
              <w:ind w:hanging="57" w:right="170"/>
              <w:jc w:val="left"/>
              <w:rPr>
                <w:color w:val="000000"/>
                <w:sz w:val="16"/>
                <w:szCs w:val="16"/>
              </w:rPr>
            </w:pPr>
            <w:r>
              <w:rPr>
                <w:color w:val="000000"/>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000 1010213001 0000 110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109,02</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109,02</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lang w:val="en-US"/>
              </w:rPr>
            </w:pPr>
            <w:r>
              <w:rPr>
                <w:sz w:val="16"/>
                <w:szCs w:val="16"/>
                <w:lang w:val="en-US"/>
              </w:rPr>
              <w:t>0,03</w:t>
            </w:r>
          </w:p>
        </w:tc>
      </w:tr>
      <w:tr>
        <w:trPr/>
        <w:tc>
          <w:tcPr>
            <w:tcW w:w="2490" w:type="dxa"/>
            <w:tcBorders>
              <w:left w:val="single" w:sz="4" w:space="0" w:color="000000"/>
              <w:bottom w:val="single" w:sz="4" w:space="0" w:color="000000"/>
            </w:tcBorders>
          </w:tcPr>
          <w:p>
            <w:pPr>
              <w:pStyle w:val="Normal"/>
              <w:widowControl w:val="false"/>
              <w:ind w:hanging="57" w:right="170"/>
              <w:jc w:val="left"/>
              <w:rPr>
                <w:sz w:val="16"/>
                <w:szCs w:val="16"/>
              </w:rPr>
            </w:pPr>
            <w:r>
              <w:rPr>
                <w:color w:val="000000"/>
                <w:sz w:val="16"/>
                <w:szCs w:val="16"/>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000 1010215001 0000 110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133,77</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162,07</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121,1</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lang w:val="en-US"/>
              </w:rPr>
            </w:pPr>
            <w:r>
              <w:rPr>
                <w:sz w:val="16"/>
                <w:szCs w:val="16"/>
                <w:lang w:val="en-US"/>
              </w:rPr>
              <w:t>0,05</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6"/>
                <w:szCs w:val="16"/>
              </w:rPr>
            </w:pPr>
            <w:r>
              <w:rPr>
                <w:color w:val="000000"/>
                <w:sz w:val="16"/>
                <w:szCs w:val="16"/>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745" w:type="dxa"/>
            <w:tcBorders>
              <w:left w:val="single" w:sz="4" w:space="0" w:color="000000"/>
              <w:bottom w:val="single" w:sz="4" w:space="0" w:color="000000"/>
            </w:tcBorders>
          </w:tcPr>
          <w:p>
            <w:pPr>
              <w:pStyle w:val="Normal"/>
              <w:widowControl w:val="false"/>
              <w:ind w:hanging="0" w:right="176"/>
              <w:jc w:val="left"/>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left"/>
              <w:rPr>
                <w:color w:val="000000"/>
                <w:sz w:val="16"/>
                <w:szCs w:val="16"/>
              </w:rPr>
            </w:pPr>
            <w:r>
              <w:rPr>
                <w:color w:val="000000"/>
                <w:sz w:val="16"/>
                <w:szCs w:val="16"/>
              </w:rPr>
              <w:t>000 1010221001 0000 110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62 671,80</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65 363,68</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104,3</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lang w:val="en-US"/>
              </w:rPr>
            </w:pPr>
            <w:r>
              <w:rPr>
                <w:color w:val="000000"/>
                <w:sz w:val="16"/>
                <w:szCs w:val="16"/>
                <w:lang w:val="en-US"/>
              </w:rPr>
              <w:t>19,5</w:t>
            </w:r>
          </w:p>
        </w:tc>
      </w:tr>
      <w:tr>
        <w:trPr/>
        <w:tc>
          <w:tcPr>
            <w:tcW w:w="2490" w:type="dxa"/>
            <w:tcBorders>
              <w:left w:val="single" w:sz="4" w:space="0" w:color="000000"/>
              <w:bottom w:val="single" w:sz="4" w:space="0" w:color="000000"/>
            </w:tcBorders>
          </w:tcPr>
          <w:p>
            <w:pPr>
              <w:pStyle w:val="Normal"/>
              <w:widowControl w:val="false"/>
              <w:ind w:hanging="57" w:right="170"/>
              <w:jc w:val="left"/>
              <w:rPr>
                <w:sz w:val="16"/>
                <w:szCs w:val="16"/>
              </w:rPr>
            </w:pPr>
            <w:r>
              <w:rPr>
                <w:sz w:val="16"/>
                <w:szCs w:val="16"/>
              </w:rPr>
              <w:t>НАЛОГИ НА ТОВАРЫ (РАБОТЫ, УСЛУГИ), РЕАЛИЗУЕМЫЕ НА ТЕРРИТОРИИ РОССИЙСКОЙ ФЕДЕРАЦИИ</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000</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 xml:space="preserve">  </w:t>
            </w:r>
            <w:r>
              <w:rPr>
                <w:sz w:val="16"/>
                <w:szCs w:val="16"/>
              </w:rPr>
              <w:t>1 03 00000 00 0000 000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42 817,70</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42 871, 48</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100,1</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rPr>
            </w:pPr>
            <w:r>
              <w:rPr>
                <w:color w:val="000000"/>
                <w:sz w:val="16"/>
                <w:szCs w:val="16"/>
              </w:rPr>
              <w:t>12,8</w:t>
            </w:r>
          </w:p>
        </w:tc>
      </w:tr>
      <w:tr>
        <w:trPr/>
        <w:tc>
          <w:tcPr>
            <w:tcW w:w="2490" w:type="dxa"/>
            <w:tcBorders>
              <w:left w:val="single" w:sz="4" w:space="0" w:color="000000"/>
              <w:bottom w:val="single" w:sz="4" w:space="0" w:color="000000"/>
            </w:tcBorders>
          </w:tcPr>
          <w:p>
            <w:pPr>
              <w:pStyle w:val="Normal"/>
              <w:widowControl w:val="false"/>
              <w:ind w:hanging="57" w:right="170"/>
              <w:jc w:val="left"/>
              <w:rPr>
                <w:color w:val="000000"/>
                <w:sz w:val="16"/>
                <w:szCs w:val="16"/>
              </w:rPr>
            </w:pPr>
            <w:r>
              <w:rPr>
                <w:color w:val="000000"/>
                <w:sz w:val="16"/>
                <w:szCs w:val="16"/>
              </w:rPr>
              <w:t>Акцизы по подакцизным товарам (продукции), производимым на территории Российской Федерации</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 xml:space="preserve">     </w:t>
            </w:r>
            <w:r>
              <w:rPr>
                <w:color w:val="000000"/>
                <w:sz w:val="16"/>
                <w:szCs w:val="16"/>
              </w:rPr>
              <w:t>000 1030200001 0000 110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42 817,70</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42 871, 48</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100,1</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rPr>
            </w:pPr>
            <w:r>
              <w:rPr>
                <w:color w:val="000000"/>
                <w:sz w:val="16"/>
                <w:szCs w:val="16"/>
              </w:rPr>
              <w:t>12,8</w:t>
            </w:r>
          </w:p>
        </w:tc>
      </w:tr>
      <w:tr>
        <w:trPr/>
        <w:tc>
          <w:tcPr>
            <w:tcW w:w="2490" w:type="dxa"/>
            <w:tcBorders>
              <w:left w:val="single" w:sz="4" w:space="0" w:color="000000"/>
              <w:bottom w:val="single" w:sz="4" w:space="0" w:color="000000"/>
            </w:tcBorders>
          </w:tcPr>
          <w:p>
            <w:pPr>
              <w:pStyle w:val="Normal"/>
              <w:widowControl w:val="false"/>
              <w:ind w:hanging="57" w:right="170"/>
              <w:jc w:val="left"/>
              <w:rPr>
                <w:color w:val="000000"/>
                <w:sz w:val="16"/>
                <w:szCs w:val="16"/>
              </w:rPr>
            </w:pPr>
            <w:r>
              <w:rPr>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000 1030223001 0000 110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21 851,50</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21 747,77</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99,5</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rPr>
            </w:pPr>
            <w:r>
              <w:rPr>
                <w:color w:val="000000"/>
                <w:sz w:val="16"/>
                <w:szCs w:val="16"/>
              </w:rPr>
              <w:t>6,5</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6"/>
                <w:szCs w:val="16"/>
              </w:rPr>
            </w:pPr>
            <w:r>
              <w:rPr>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000 1030224001 0000 110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124,80</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127,25</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101,9</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rPr>
            </w:pPr>
            <w:r>
              <w:rPr>
                <w:color w:val="000000"/>
                <w:sz w:val="16"/>
                <w:szCs w:val="16"/>
              </w:rPr>
              <w:t>0,04</w:t>
            </w:r>
          </w:p>
        </w:tc>
      </w:tr>
      <w:tr>
        <w:trPr/>
        <w:tc>
          <w:tcPr>
            <w:tcW w:w="2490" w:type="dxa"/>
            <w:tcBorders>
              <w:left w:val="single" w:sz="4" w:space="0" w:color="000000"/>
              <w:bottom w:val="single" w:sz="4" w:space="0" w:color="000000"/>
            </w:tcBorders>
          </w:tcPr>
          <w:p>
            <w:pPr>
              <w:pStyle w:val="Normal"/>
              <w:widowControl w:val="false"/>
              <w:ind w:firstLine="57" w:right="170"/>
              <w:jc w:val="left"/>
              <w:rPr>
                <w:color w:val="000000"/>
                <w:sz w:val="16"/>
                <w:szCs w:val="16"/>
              </w:rPr>
            </w:pPr>
            <w:r>
              <w:rPr>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000 1030225001 0000 110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23 203,80</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23 170,94</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99,8</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rPr>
            </w:pPr>
            <w:r>
              <w:rPr>
                <w:color w:val="000000"/>
                <w:sz w:val="16"/>
                <w:szCs w:val="16"/>
              </w:rPr>
              <w:t>6,9</w:t>
            </w:r>
          </w:p>
        </w:tc>
      </w:tr>
      <w:tr>
        <w:trPr/>
        <w:tc>
          <w:tcPr>
            <w:tcW w:w="2490" w:type="dxa"/>
            <w:tcBorders>
              <w:left w:val="single" w:sz="4" w:space="0" w:color="000000"/>
              <w:bottom w:val="single" w:sz="4" w:space="0" w:color="000000"/>
            </w:tcBorders>
          </w:tcPr>
          <w:p>
            <w:pPr>
              <w:pStyle w:val="Normal"/>
              <w:widowControl w:val="false"/>
              <w:ind w:firstLine="57" w:right="170"/>
              <w:jc w:val="left"/>
              <w:rPr>
                <w:color w:val="000000"/>
                <w:sz w:val="16"/>
                <w:szCs w:val="16"/>
              </w:rPr>
            </w:pPr>
            <w:r>
              <w:rPr>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color w:val="000000"/>
                <w:sz w:val="16"/>
                <w:szCs w:val="16"/>
              </w:rPr>
              <w:t>000 1030225101 0000 110</w:t>
            </w:r>
            <w:r>
              <w:rPr>
                <w:sz w:val="16"/>
                <w:szCs w:val="16"/>
              </w:rPr>
              <w:br/>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-2 362,40</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-2 174,48</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92,0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rPr>
            </w:pPr>
            <w:r>
              <w:rPr>
                <w:color w:val="000000"/>
                <w:sz w:val="16"/>
                <w:szCs w:val="16"/>
              </w:rPr>
              <w:t>-0,6</w:t>
            </w:r>
          </w:p>
        </w:tc>
      </w:tr>
      <w:tr>
        <w:trPr/>
        <w:tc>
          <w:tcPr>
            <w:tcW w:w="2490" w:type="dxa"/>
            <w:tcBorders>
              <w:left w:val="single" w:sz="4" w:space="0" w:color="000000"/>
              <w:bottom w:val="single" w:sz="4" w:space="0" w:color="000000"/>
            </w:tcBorders>
          </w:tcPr>
          <w:p>
            <w:pPr>
              <w:pStyle w:val="Normal"/>
              <w:widowControl w:val="false"/>
              <w:ind w:firstLine="57" w:right="170"/>
              <w:jc w:val="left"/>
              <w:rPr>
                <w:sz w:val="16"/>
                <w:szCs w:val="16"/>
              </w:rPr>
            </w:pPr>
            <w:r>
              <w:rPr>
                <w:sz w:val="16"/>
                <w:szCs w:val="16"/>
              </w:rPr>
              <w:t>НАЛОГИ НА СОВОКУПНЫЙ ДОХОД</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000</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1 05 00000 00 0000 000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13 480,06</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15 338,77</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113,8</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rPr>
            </w:pPr>
            <w:r>
              <w:rPr>
                <w:color w:val="000000"/>
                <w:sz w:val="16"/>
                <w:szCs w:val="16"/>
              </w:rPr>
              <w:t>4,6</w:t>
            </w:r>
          </w:p>
        </w:tc>
      </w:tr>
      <w:tr>
        <w:trPr/>
        <w:tc>
          <w:tcPr>
            <w:tcW w:w="2490" w:type="dxa"/>
            <w:tcBorders>
              <w:left w:val="single" w:sz="4" w:space="0" w:color="000000"/>
              <w:bottom w:val="single" w:sz="4" w:space="0" w:color="000000"/>
            </w:tcBorders>
          </w:tcPr>
          <w:p>
            <w:pPr>
              <w:pStyle w:val="Normal"/>
              <w:widowControl w:val="false"/>
              <w:ind w:firstLine="57" w:right="170"/>
              <w:jc w:val="left"/>
              <w:rPr>
                <w:sz w:val="16"/>
                <w:szCs w:val="16"/>
              </w:rPr>
            </w:pPr>
            <w:r>
              <w:rPr>
                <w:sz w:val="16"/>
                <w:szCs w:val="16"/>
              </w:rPr>
              <w:t>Налог, взимаемый в связи с применением упрощенной системы налогообложения</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1 05 01000 00 0000 110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6 175,00</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6 258,60</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101,3</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rPr>
            </w:pPr>
            <w:r>
              <w:rPr>
                <w:color w:val="000000"/>
                <w:sz w:val="16"/>
                <w:szCs w:val="16"/>
              </w:rPr>
              <w:t>1,9</w:t>
            </w:r>
          </w:p>
        </w:tc>
      </w:tr>
      <w:tr>
        <w:trPr/>
        <w:tc>
          <w:tcPr>
            <w:tcW w:w="2490" w:type="dxa"/>
            <w:tcBorders>
              <w:left w:val="single" w:sz="4" w:space="0" w:color="000000"/>
              <w:bottom w:val="single" w:sz="4" w:space="0" w:color="000000"/>
            </w:tcBorders>
          </w:tcPr>
          <w:p>
            <w:pPr>
              <w:pStyle w:val="Normal"/>
              <w:widowControl w:val="false"/>
              <w:ind w:firstLine="57" w:right="170"/>
              <w:jc w:val="left"/>
              <w:rPr>
                <w:sz w:val="16"/>
                <w:szCs w:val="16"/>
              </w:rPr>
            </w:pPr>
            <w:r>
              <w:rPr>
                <w:sz w:val="16"/>
                <w:szCs w:val="16"/>
              </w:rPr>
              <w:t>Налог, взимаемый с налогоплательщиков, выбравших в качестве объекта налогообложения доходы</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1 05 01011 01 0000 110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4 479,62</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4 558,06</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101,7</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rPr>
            </w:pPr>
            <w:r>
              <w:rPr>
                <w:color w:val="000000"/>
                <w:sz w:val="16"/>
                <w:szCs w:val="16"/>
              </w:rPr>
              <w:t>1,4</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1 05 01021 01 0000 110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1 695,38</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1700,54</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100,3</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0,5</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Единый налог на вменённый доход</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1 05 02000 00 0000 110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7,77</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7,77</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0,0</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Единый налог на вменённый доход для отдельных видов деятельности</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1 05 02010 02 0000 110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7,77</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7,77</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0,0</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Единый сельскохозяйственный налог</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1 05 03000 00 0000 110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2093,35</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2093,35</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0,6</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Единый сельскохозяйственный налог</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1 05 03010 01 0000 110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2093,35</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2093,35</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0,6</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Налог, взимаемый в связи с применением патентной системы налогообложения</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1 05 04000 02 0000 110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5 203,94</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6 979,04</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134,1</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2,1</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Налог, взимаемый в связи с применением патентной системы налогообложения, зачисляемый в бюджеты муниципальных районов</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1 05 04020 02 0000 110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5 203,94</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6 979,04</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134,1</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2,1</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ГОСУДАРСТВЕННАЯ ПОШЛИНА</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000</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1 08 00000 00 0000 000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172,61</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182,93</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105,9</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0,1</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182</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1 08 03010 01 0000 110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172,61</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182,93</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105,9</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0,1</w:t>
            </w:r>
          </w:p>
        </w:tc>
      </w:tr>
      <w:tr>
        <w:trPr/>
        <w:tc>
          <w:tcPr>
            <w:tcW w:w="2490" w:type="dxa"/>
            <w:tcBorders>
              <w:left w:val="single" w:sz="4" w:space="0" w:color="000000"/>
              <w:bottom w:val="single" w:sz="4" w:space="0" w:color="000000"/>
            </w:tcBorders>
          </w:tcPr>
          <w:p>
            <w:pPr>
              <w:pStyle w:val="Normal"/>
              <w:widowControl w:val="false"/>
              <w:ind w:hanging="0" w:right="170"/>
              <w:jc w:val="center"/>
              <w:rPr>
                <w:sz w:val="16"/>
                <w:szCs w:val="16"/>
              </w:rPr>
            </w:pPr>
            <w:r>
              <w:rPr>
                <w:sz w:val="16"/>
                <w:szCs w:val="16"/>
              </w:rPr>
              <w:t>НЕНАЛОГОВЫЕ  ДОХОДЫ</w:t>
            </w:r>
          </w:p>
        </w:tc>
        <w:tc>
          <w:tcPr>
            <w:tcW w:w="745" w:type="dxa"/>
            <w:tcBorders>
              <w:left w:val="single" w:sz="4" w:space="0" w:color="000000"/>
              <w:bottom w:val="single" w:sz="4" w:space="0" w:color="000000"/>
            </w:tcBorders>
          </w:tcPr>
          <w:p>
            <w:pPr>
              <w:pStyle w:val="Normal"/>
              <w:widowControl w:val="false"/>
              <w:jc w:val="center"/>
              <w:rPr>
                <w:sz w:val="16"/>
                <w:szCs w:val="16"/>
              </w:rPr>
            </w:pPr>
            <w:r>
              <w:rPr>
                <w:sz w:val="16"/>
                <w:szCs w:val="16"/>
              </w:rPr>
            </w:r>
          </w:p>
        </w:tc>
        <w:tc>
          <w:tcPr>
            <w:tcW w:w="2155" w:type="dxa"/>
            <w:tcBorders>
              <w:left w:val="single" w:sz="4" w:space="0" w:color="000000"/>
              <w:bottom w:val="single" w:sz="4" w:space="0" w:color="000000"/>
            </w:tcBorders>
          </w:tcPr>
          <w:p>
            <w:pPr>
              <w:pStyle w:val="Normal"/>
              <w:widowControl w:val="false"/>
              <w:jc w:val="center"/>
              <w:rPr>
                <w:color w:val="000000"/>
                <w:sz w:val="16"/>
                <w:szCs w:val="16"/>
                <w:shd w:fill="FFFFFF" w:val="clear"/>
              </w:rPr>
            </w:pPr>
            <w:r>
              <w:rPr>
                <w:color w:val="000000"/>
                <w:sz w:val="16"/>
                <w:szCs w:val="16"/>
                <w:shd w:fill="FFFFFF" w:val="clear"/>
              </w:rPr>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51315,8</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shd w:fill="FFFFFF" w:val="clear"/>
              </w:rPr>
            </w:pPr>
            <w:r>
              <w:rPr>
                <w:color w:val="000000"/>
                <w:sz w:val="16"/>
                <w:szCs w:val="16"/>
                <w:shd w:fill="FFFFFF" w:val="clear"/>
              </w:rPr>
              <w:t>54 176,1</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shd w:fill="FFFFFF" w:val="clear"/>
              </w:rPr>
            </w:pPr>
            <w:r>
              <w:rPr>
                <w:color w:val="000000"/>
                <w:sz w:val="16"/>
                <w:szCs w:val="16"/>
                <w:shd w:fill="FFFFFF" w:val="clear"/>
              </w:rPr>
              <w:t>105,6</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6"/>
                <w:szCs w:val="16"/>
              </w:rPr>
            </w:pPr>
            <w:r>
              <w:rPr>
                <w:color w:val="000000"/>
                <w:sz w:val="16"/>
                <w:szCs w:val="16"/>
              </w:rPr>
              <w:t>16,2</w:t>
            </w:r>
          </w:p>
        </w:tc>
      </w:tr>
      <w:tr>
        <w:trPr/>
        <w:tc>
          <w:tcPr>
            <w:tcW w:w="2490" w:type="dxa"/>
            <w:tcBorders>
              <w:left w:val="single" w:sz="4" w:space="0" w:color="000000"/>
              <w:bottom w:val="single" w:sz="4" w:space="0" w:color="000000"/>
            </w:tcBorders>
          </w:tcPr>
          <w:p>
            <w:pPr>
              <w:pStyle w:val="Normal"/>
              <w:widowControl w:val="false"/>
              <w:ind w:hanging="0" w:right="170"/>
              <w:jc w:val="left"/>
              <w:rPr>
                <w:sz w:val="16"/>
                <w:szCs w:val="16"/>
              </w:rPr>
            </w:pPr>
            <w:r>
              <w:rPr>
                <w:sz w:val="16"/>
                <w:szCs w:val="16"/>
              </w:rPr>
              <w:t>ДОХОДЫ ОТ ИСПОЛЬЗОВАНИЯ ИМУЩЕСТВА, НАХОДЯЩЕГОСЯ В ГОСУДАРСТВЕННОЙ И МУНИЦИПАЛЬНОЙ СОБСТВЕННОСТИ</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000</w:t>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1 11 00000 00 0000 000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28 721,37</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29 126,22</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6"/>
                <w:szCs w:val="16"/>
              </w:rPr>
            </w:pPr>
            <w:r>
              <w:rPr>
                <w:color w:val="000000"/>
                <w:sz w:val="16"/>
                <w:szCs w:val="16"/>
              </w:rPr>
              <w:t>101,4</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8,7</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6"/>
                <w:szCs w:val="16"/>
              </w:rPr>
            </w:pPr>
            <w:r>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74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r>
          </w:p>
        </w:tc>
        <w:tc>
          <w:tcPr>
            <w:tcW w:w="2155"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1 11 05013 05 0000 120</w:t>
            </w:r>
          </w:p>
        </w:tc>
        <w:tc>
          <w:tcPr>
            <w:tcW w:w="1359"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28 016,,66</w:t>
            </w:r>
          </w:p>
        </w:tc>
        <w:tc>
          <w:tcPr>
            <w:tcW w:w="1244"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28 371,25</w:t>
            </w:r>
          </w:p>
        </w:tc>
        <w:tc>
          <w:tcPr>
            <w:tcW w:w="1080" w:type="dxa"/>
            <w:tcBorders>
              <w:left w:val="single" w:sz="4" w:space="0" w:color="000000"/>
              <w:bottom w:val="single" w:sz="4" w:space="0" w:color="000000"/>
            </w:tcBorders>
          </w:tcPr>
          <w:p>
            <w:pPr>
              <w:pStyle w:val="Normal"/>
              <w:widowControl w:val="false"/>
              <w:ind w:hanging="0" w:right="176"/>
              <w:jc w:val="center"/>
              <w:rPr>
                <w:sz w:val="16"/>
                <w:szCs w:val="16"/>
              </w:rPr>
            </w:pPr>
            <w:r>
              <w:rPr>
                <w:sz w:val="16"/>
                <w:szCs w:val="16"/>
              </w:rPr>
              <w:t>101,3</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6"/>
                <w:szCs w:val="16"/>
              </w:rPr>
            </w:pPr>
            <w:r>
              <w:rPr>
                <w:sz w:val="16"/>
                <w:szCs w:val="16"/>
              </w:rPr>
              <w:t>8,7</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8"/>
                <w:szCs w:val="18"/>
              </w:rPr>
            </w:pPr>
            <w:r>
              <w:rPr>
                <w:color w:val="000000"/>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4"/>
                <w:szCs w:val="18"/>
              </w:rPr>
            </w:pPr>
            <w:r>
              <w:rPr>
                <w:color w:val="000000"/>
                <w:sz w:val="14"/>
                <w:szCs w:val="18"/>
              </w:rPr>
              <w:t>1110502505 0000 120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2 ,58</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2,58</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8"/>
                <w:szCs w:val="18"/>
              </w:rPr>
            </w:pPr>
            <w:r>
              <w:rPr>
                <w:color w:val="000000"/>
                <w:sz w:val="18"/>
                <w:szCs w:val="1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4"/>
                <w:szCs w:val="18"/>
              </w:rPr>
            </w:pPr>
            <w:r>
              <w:rPr>
                <w:color w:val="000000"/>
                <w:sz w:val="14"/>
                <w:szCs w:val="18"/>
              </w:rPr>
              <w:t>1110503505 0000 120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702,13</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752,39</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107,1</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0,2</w:t>
            </w:r>
          </w:p>
        </w:tc>
      </w:tr>
      <w:tr>
        <w:trPr/>
        <w:tc>
          <w:tcPr>
            <w:tcW w:w="2490" w:type="dxa"/>
            <w:tcBorders>
              <w:left w:val="single" w:sz="4" w:space="0" w:color="000000"/>
              <w:bottom w:val="single" w:sz="4" w:space="0" w:color="000000"/>
            </w:tcBorders>
          </w:tcPr>
          <w:p>
            <w:pPr>
              <w:pStyle w:val="Normal"/>
              <w:widowControl w:val="false"/>
              <w:ind w:firstLine="57" w:right="170"/>
              <w:jc w:val="left"/>
              <w:rPr>
                <w:sz w:val="18"/>
                <w:szCs w:val="18"/>
              </w:rPr>
            </w:pPr>
            <w:r>
              <w:rPr>
                <w:sz w:val="18"/>
                <w:szCs w:val="18"/>
              </w:rPr>
              <w:t>ПЛАТЕЖИ ПРИ ПОЛЬЗОВАНИИ ПРИРОДНЫМИ РЕСУРСАМИ</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1 12 00000 00 0000 000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2 476,49</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2 476,49</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8"/>
                <w:szCs w:val="18"/>
              </w:rPr>
            </w:pPr>
            <w:r>
              <w:rPr>
                <w:color w:val="000000"/>
                <w:sz w:val="18"/>
                <w:szCs w:val="18"/>
              </w:rPr>
              <w:t>0,7</w:t>
            </w:r>
          </w:p>
        </w:tc>
      </w:tr>
      <w:tr>
        <w:trPr/>
        <w:tc>
          <w:tcPr>
            <w:tcW w:w="2490" w:type="dxa"/>
            <w:tcBorders>
              <w:left w:val="single" w:sz="4" w:space="0" w:color="000000"/>
              <w:bottom w:val="single" w:sz="4" w:space="0" w:color="000000"/>
            </w:tcBorders>
          </w:tcPr>
          <w:p>
            <w:pPr>
              <w:pStyle w:val="Normal"/>
              <w:widowControl w:val="false"/>
              <w:ind w:firstLine="57" w:right="170"/>
              <w:jc w:val="left"/>
              <w:rPr>
                <w:sz w:val="18"/>
                <w:szCs w:val="18"/>
              </w:rPr>
            </w:pPr>
            <w:r>
              <w:rPr>
                <w:sz w:val="18"/>
                <w:szCs w:val="18"/>
              </w:rPr>
              <w:t>Плата за выбросы загрязняющих веществ в атмосферный воздух стационарными объектами</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048</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 xml:space="preserve"> </w:t>
            </w:r>
            <w:r>
              <w:rPr>
                <w:sz w:val="18"/>
                <w:szCs w:val="18"/>
              </w:rPr>
              <w:t>1 12 01010 01 6000 120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2 476,49</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2 476,49</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8"/>
                <w:szCs w:val="18"/>
              </w:rPr>
            </w:pPr>
            <w:r>
              <w:rPr>
                <w:color w:val="000000"/>
                <w:sz w:val="18"/>
                <w:szCs w:val="18"/>
              </w:rPr>
              <w:t>0,7</w:t>
            </w:r>
          </w:p>
        </w:tc>
      </w:tr>
      <w:tr>
        <w:trPr/>
        <w:tc>
          <w:tcPr>
            <w:tcW w:w="2490" w:type="dxa"/>
            <w:tcBorders>
              <w:left w:val="single" w:sz="4" w:space="0" w:color="000000"/>
              <w:bottom w:val="single" w:sz="4" w:space="0" w:color="000000"/>
            </w:tcBorders>
          </w:tcPr>
          <w:p>
            <w:pPr>
              <w:pStyle w:val="Normal"/>
              <w:widowControl w:val="false"/>
              <w:ind w:firstLine="57" w:right="170"/>
              <w:jc w:val="left"/>
              <w:rPr>
                <w:color w:val="000000"/>
                <w:sz w:val="18"/>
                <w:szCs w:val="18"/>
              </w:rPr>
            </w:pPr>
            <w:r>
              <w:rPr>
                <w:color w:val="000000"/>
                <w:sz w:val="18"/>
                <w:szCs w:val="18"/>
              </w:rPr>
              <w:t>Плата за выбросы загрязняющих веществ в атмосферный воздух стационарными объектами</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4"/>
                <w:szCs w:val="18"/>
              </w:rPr>
            </w:pPr>
            <w:r>
              <w:rPr>
                <w:color w:val="000000"/>
                <w:sz w:val="14"/>
                <w:szCs w:val="18"/>
              </w:rPr>
              <w:t>1120101001 0000 120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1 732,02</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1732,02</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8"/>
                <w:szCs w:val="18"/>
              </w:rPr>
            </w:pPr>
            <w:r>
              <w:rPr>
                <w:color w:val="000000"/>
                <w:sz w:val="18"/>
                <w:szCs w:val="18"/>
              </w:rPr>
              <w:t>0,5</w:t>
            </w:r>
          </w:p>
        </w:tc>
      </w:tr>
      <w:tr>
        <w:trPr/>
        <w:tc>
          <w:tcPr>
            <w:tcW w:w="2490" w:type="dxa"/>
            <w:tcBorders>
              <w:left w:val="single" w:sz="4" w:space="0" w:color="000000"/>
              <w:bottom w:val="single" w:sz="4" w:space="0" w:color="000000"/>
            </w:tcBorders>
          </w:tcPr>
          <w:p>
            <w:pPr>
              <w:pStyle w:val="Normal"/>
              <w:widowControl w:val="false"/>
              <w:ind w:firstLine="57" w:right="170"/>
              <w:jc w:val="left"/>
              <w:rPr>
                <w:color w:val="000000"/>
                <w:sz w:val="18"/>
                <w:szCs w:val="18"/>
              </w:rPr>
            </w:pPr>
            <w:r>
              <w:rPr>
                <w:color w:val="000000"/>
                <w:sz w:val="18"/>
                <w:szCs w:val="18"/>
              </w:rPr>
              <w:t>Плата за сбросы загрязняющих веществ в водные объекты</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4"/>
                <w:szCs w:val="18"/>
              </w:rPr>
            </w:pPr>
            <w:r>
              <w:rPr>
                <w:color w:val="000000"/>
                <w:sz w:val="14"/>
                <w:szCs w:val="18"/>
              </w:rPr>
              <w:t>1120103001 0000 120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103,45</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103,45</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8"/>
                <w:szCs w:val="18"/>
              </w:rPr>
            </w:pPr>
            <w:r>
              <w:rPr>
                <w:color w:val="000000"/>
                <w:sz w:val="18"/>
                <w:szCs w:val="18"/>
              </w:rPr>
              <w:t>0,0</w:t>
            </w:r>
          </w:p>
        </w:tc>
      </w:tr>
      <w:tr>
        <w:trPr/>
        <w:tc>
          <w:tcPr>
            <w:tcW w:w="2490" w:type="dxa"/>
            <w:tcBorders>
              <w:left w:val="single" w:sz="4" w:space="0" w:color="000000"/>
              <w:bottom w:val="single" w:sz="4" w:space="0" w:color="000000"/>
            </w:tcBorders>
          </w:tcPr>
          <w:p>
            <w:pPr>
              <w:pStyle w:val="Normal"/>
              <w:widowControl w:val="false"/>
              <w:ind w:firstLine="57" w:right="170"/>
              <w:jc w:val="left"/>
              <w:rPr>
                <w:color w:val="000000"/>
                <w:sz w:val="18"/>
                <w:szCs w:val="18"/>
              </w:rPr>
            </w:pPr>
            <w:r>
              <w:rPr>
                <w:color w:val="000000"/>
                <w:sz w:val="18"/>
                <w:szCs w:val="18"/>
              </w:rPr>
              <w:t>Плата за размещение отходов производства</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4"/>
                <w:szCs w:val="18"/>
              </w:rPr>
            </w:pPr>
            <w:r>
              <w:rPr>
                <w:color w:val="000000"/>
                <w:sz w:val="14"/>
                <w:szCs w:val="18"/>
              </w:rPr>
              <w:t>1120104101 0000 120</w:t>
            </w:r>
          </w:p>
        </w:tc>
        <w:tc>
          <w:tcPr>
            <w:tcW w:w="1359"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641,01</w:t>
            </w:r>
          </w:p>
        </w:tc>
        <w:tc>
          <w:tcPr>
            <w:tcW w:w="1244"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641,01</w:t>
            </w:r>
          </w:p>
        </w:tc>
        <w:tc>
          <w:tcPr>
            <w:tcW w:w="1080" w:type="dxa"/>
            <w:tcBorders>
              <w:left w:val="single" w:sz="4" w:space="0" w:color="000000"/>
              <w:bottom w:val="single" w:sz="4" w:space="0" w:color="000000"/>
            </w:tcBorders>
          </w:tcPr>
          <w:p>
            <w:pPr>
              <w:pStyle w:val="Normal"/>
              <w:widowControl w:val="false"/>
              <w:ind w:hanging="0" w:right="176"/>
              <w:jc w:val="center"/>
              <w:rPr>
                <w:color w:val="000000"/>
                <w:sz w:val="18"/>
                <w:szCs w:val="18"/>
              </w:rPr>
            </w:pPr>
            <w:r>
              <w:rPr>
                <w:color w:val="000000"/>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color w:val="000000"/>
                <w:sz w:val="18"/>
                <w:szCs w:val="18"/>
              </w:rPr>
            </w:pPr>
            <w:r>
              <w:rPr>
                <w:color w:val="000000"/>
                <w:sz w:val="18"/>
                <w:szCs w:val="18"/>
              </w:rPr>
              <w:t>0,2</w:t>
            </w:r>
          </w:p>
        </w:tc>
      </w:tr>
      <w:tr>
        <w:trPr/>
        <w:tc>
          <w:tcPr>
            <w:tcW w:w="2490" w:type="dxa"/>
            <w:tcBorders>
              <w:left w:val="single" w:sz="4" w:space="0" w:color="000000"/>
              <w:bottom w:val="single" w:sz="4" w:space="0" w:color="000000"/>
            </w:tcBorders>
          </w:tcPr>
          <w:p>
            <w:pPr>
              <w:pStyle w:val="Normal"/>
              <w:widowControl w:val="false"/>
              <w:ind w:firstLine="57" w:right="170"/>
              <w:jc w:val="center"/>
              <w:rPr>
                <w:sz w:val="18"/>
                <w:szCs w:val="18"/>
              </w:rPr>
            </w:pPr>
            <w:r>
              <w:rPr>
                <w:sz w:val="18"/>
                <w:szCs w:val="18"/>
              </w:rPr>
              <w:t>ДОХОДЫ ОТ ОКАЗАНИЯ ПЛАТНЫХ УСЛУГ И КОМПЕНСАЦИИ ЗАТРАТ ГОСУДАРСТВА</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1 13 00000 00 0000 000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12 653,62</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12997,71</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highlight w:val="none"/>
                <w:shd w:fill="auto" w:val="clear"/>
              </w:rPr>
            </w:pPr>
            <w:r>
              <w:rPr>
                <w:sz w:val="18"/>
                <w:szCs w:val="18"/>
                <w:shd w:fill="auto" w:val="clear"/>
              </w:rPr>
              <w:t>102,7</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highlight w:val="none"/>
                <w:shd w:fill="auto" w:val="clear"/>
              </w:rPr>
            </w:pPr>
            <w:r>
              <w:rPr>
                <w:sz w:val="18"/>
                <w:szCs w:val="18"/>
                <w:shd w:fill="auto" w:val="clear"/>
              </w:rPr>
              <w:t>3,9</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Прочие доходы от оказания платных услуг (работ) получателями средств бюджетов муниципальных районов</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1 13 01995 05 0000 130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11 872,73</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12 558,38</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105,8</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3,8</w:t>
            </w:r>
          </w:p>
        </w:tc>
      </w:tr>
      <w:tr>
        <w:trPr/>
        <w:tc>
          <w:tcPr>
            <w:tcW w:w="2490" w:type="dxa"/>
            <w:tcBorders>
              <w:left w:val="single" w:sz="4" w:space="0" w:color="000000"/>
              <w:bottom w:val="single" w:sz="4" w:space="0" w:color="000000"/>
            </w:tcBorders>
          </w:tcPr>
          <w:p>
            <w:pPr>
              <w:pStyle w:val="Normal"/>
              <w:widowControl w:val="false"/>
              <w:ind w:firstLine="57" w:right="170"/>
              <w:jc w:val="left"/>
              <w:rPr>
                <w:sz w:val="18"/>
                <w:szCs w:val="18"/>
              </w:rPr>
            </w:pPr>
            <w:r>
              <w:rPr>
                <w:sz w:val="18"/>
                <w:szCs w:val="18"/>
              </w:rPr>
              <w:t>Доходы, поступающие в порядке возмещения расходов, понесенных в связи с эксплуатацией имущества муниципальных районов</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1 13 02065 05 0000 130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134,52</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134,52</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w:t>
            </w:r>
          </w:p>
        </w:tc>
      </w:tr>
      <w:tr>
        <w:trPr>
          <w:trHeight w:val="1151" w:hRule="atLeast"/>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Прочие доходы от компенсации затрат бюджетов муниципальных районов</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1 13 02995 05 0000 130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329,30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329,30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0,1</w:t>
            </w:r>
          </w:p>
        </w:tc>
      </w:tr>
      <w:tr>
        <w:trPr/>
        <w:tc>
          <w:tcPr>
            <w:tcW w:w="2490" w:type="dxa"/>
            <w:tcBorders>
              <w:left w:val="single" w:sz="4" w:space="0" w:color="000000"/>
              <w:bottom w:val="single" w:sz="4" w:space="0" w:color="000000"/>
            </w:tcBorders>
          </w:tcPr>
          <w:p>
            <w:pPr>
              <w:pStyle w:val="Normal"/>
              <w:widowControl w:val="false"/>
              <w:ind w:firstLine="57" w:right="170"/>
              <w:jc w:val="left"/>
              <w:rPr>
                <w:sz w:val="18"/>
                <w:szCs w:val="18"/>
              </w:rPr>
            </w:pPr>
            <w:r>
              <w:rPr>
                <w:sz w:val="18"/>
                <w:szCs w:val="18"/>
              </w:rPr>
              <w:t>ДОХОДЫ ОТ ПРОДАЖИ МАТЕРИАЛЬНЫХ И НЕМАТЕРИАЛЬНЫХ АКТИВОВ</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1 14 00000 00 0000 000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3 731,37</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5 310,90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142,3</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1,6</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8"/>
                <w:szCs w:val="18"/>
              </w:rPr>
            </w:pPr>
            <w:r>
              <w:rPr>
                <w:color w:val="000000"/>
                <w:sz w:val="18"/>
                <w:szCs w:val="18"/>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color w:val="000000"/>
                <w:sz w:val="14"/>
                <w:szCs w:val="18"/>
              </w:rPr>
            </w:pPr>
            <w:r>
              <w:rPr>
                <w:color w:val="000000"/>
                <w:sz w:val="14"/>
                <w:szCs w:val="18"/>
              </w:rPr>
              <w:t xml:space="preserve"> </w:t>
            </w:r>
            <w:r>
              <w:rPr>
                <w:color w:val="000000"/>
                <w:sz w:val="14"/>
                <w:szCs w:val="18"/>
              </w:rPr>
              <w:t>1140205205 0000 410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5,4</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5,4</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8"/>
                <w:szCs w:val="18"/>
              </w:rPr>
            </w:pPr>
            <w:r>
              <w:rPr>
                <w:color w:val="000000"/>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left"/>
              <w:rPr>
                <w:rFonts w:ascii="Arial" w:hAnsi="Arial"/>
                <w:color w:val="000000"/>
                <w:sz w:val="14"/>
                <w:szCs w:val="18"/>
              </w:rPr>
            </w:pPr>
            <w:r>
              <w:rPr>
                <w:rFonts w:ascii="Arial" w:hAnsi="Arial"/>
                <w:color w:val="000000"/>
                <w:sz w:val="14"/>
                <w:szCs w:val="18"/>
              </w:rPr>
              <w:t>1140601305 0000 430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3 725,97</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5 305,50</w:t>
            </w:r>
          </w:p>
          <w:p>
            <w:pPr>
              <w:pStyle w:val="Normal"/>
              <w:widowControl w:val="false"/>
              <w:ind w:hanging="0" w:right="176"/>
              <w:jc w:val="center"/>
              <w:rPr>
                <w:sz w:val="18"/>
                <w:szCs w:val="18"/>
              </w:rPr>
            </w:pPr>
            <w:r>
              <w:rPr>
                <w:sz w:val="18"/>
                <w:szCs w:val="18"/>
              </w:rPr>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142,4</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1,6</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ДОХОДЫ ОТ ПРОДАЖИ МАТЕРИАЛЬНЫХ И НЕМАТЕРИАЛЬНЫХ АКТИВОВ</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1 14 00000 00 0000 000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2 923,22</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3 455,06</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118,2</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1,0</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Доходы от реализации иного имущества, находящегося в собственности муниципальных районов</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1 14 02053 05 0000 410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514,80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514,80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0,2</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1 14 06013 05 0000 430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2 006,20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2 210,70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110,2</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0,8</w:t>
            </w:r>
          </w:p>
        </w:tc>
      </w:tr>
      <w:tr>
        <w:trPr/>
        <w:tc>
          <w:tcPr>
            <w:tcW w:w="2490" w:type="dxa"/>
            <w:tcBorders>
              <w:left w:val="single" w:sz="4" w:space="0" w:color="000000"/>
              <w:bottom w:val="single" w:sz="4" w:space="0" w:color="000000"/>
            </w:tcBorders>
          </w:tcPr>
          <w:p>
            <w:pPr>
              <w:pStyle w:val="Normal"/>
              <w:widowControl w:val="false"/>
              <w:ind w:firstLine="57" w:right="170"/>
              <w:jc w:val="center"/>
              <w:rPr>
                <w:sz w:val="18"/>
                <w:szCs w:val="18"/>
              </w:rPr>
            </w:pPr>
            <w:r>
              <w:rPr>
                <w:sz w:val="18"/>
                <w:szCs w:val="18"/>
              </w:rPr>
              <w:t>ШТРАФЫ, САНКЦИИ, ВОЗМЕЩЕНИЕ УЩЕРБА</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1 16 00000 00 0000 000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2 516,40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2 651,80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105,4</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0,8</w:t>
            </w:r>
          </w:p>
        </w:tc>
      </w:tr>
      <w:tr>
        <w:trPr/>
        <w:tc>
          <w:tcPr>
            <w:tcW w:w="2490" w:type="dxa"/>
            <w:tcBorders>
              <w:left w:val="single" w:sz="4" w:space="0" w:color="000000"/>
              <w:bottom w:val="single" w:sz="4" w:space="0" w:color="000000"/>
            </w:tcBorders>
          </w:tcPr>
          <w:p>
            <w:pPr>
              <w:pStyle w:val="Normal"/>
              <w:widowControl w:val="false"/>
              <w:ind w:firstLine="57" w:right="170"/>
              <w:jc w:val="left"/>
              <w:rPr>
                <w:color w:val="000000"/>
                <w:sz w:val="18"/>
                <w:szCs w:val="18"/>
              </w:rPr>
            </w:pPr>
            <w:r>
              <w:rPr>
                <w:color w:val="000000"/>
                <w:sz w:val="18"/>
                <w:szCs w:val="18"/>
              </w:rPr>
              <w:t>Административные штрафы, установленные Кодексом Российской Федерации об административных правонарушениях</w:t>
            </w:r>
          </w:p>
          <w:p>
            <w:pPr>
              <w:pStyle w:val="Normal"/>
              <w:widowControl w:val="false"/>
              <w:ind w:firstLine="57"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left"/>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left"/>
              <w:rPr>
                <w:color w:val="000000"/>
                <w:sz w:val="18"/>
                <w:szCs w:val="18"/>
              </w:rPr>
            </w:pPr>
            <w:r>
              <w:rPr>
                <w:color w:val="000000"/>
                <w:sz w:val="18"/>
                <w:szCs w:val="18"/>
              </w:rPr>
              <w:t xml:space="preserve"> </w:t>
            </w:r>
            <w:r>
              <w:rPr>
                <w:color w:val="000000"/>
                <w:sz w:val="18"/>
                <w:szCs w:val="18"/>
              </w:rPr>
              <w:t>1160100001 0000 140</w:t>
            </w:r>
          </w:p>
          <w:p>
            <w:pPr>
              <w:pStyle w:val="Normal"/>
              <w:widowControl w:val="false"/>
              <w:ind w:hanging="0" w:right="176"/>
              <w:jc w:val="left"/>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46,49</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51,74</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111,3</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8"/>
                <w:szCs w:val="18"/>
              </w:rPr>
            </w:pPr>
            <w:r>
              <w:rPr>
                <w:color w:val="000000"/>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p>
            <w:pPr>
              <w:pStyle w:val="Normal"/>
              <w:widowControl w:val="false"/>
              <w:ind w:hanging="0" w:right="170"/>
              <w:jc w:val="center"/>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1160105301 0000 140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26,22</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31,00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118,2</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firstLine="57" w:right="170"/>
              <w:jc w:val="left"/>
              <w:rPr>
                <w:color w:val="000000"/>
                <w:sz w:val="18"/>
                <w:szCs w:val="18"/>
              </w:rPr>
            </w:pPr>
            <w:r>
              <w:rPr>
                <w:color w:val="000000"/>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p>
            <w:pPr>
              <w:pStyle w:val="Normal"/>
              <w:widowControl w:val="false"/>
              <w:jc w:val="center"/>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1160106301 0000 140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11,32</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11,32</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8"/>
                <w:szCs w:val="18"/>
              </w:rPr>
            </w:pPr>
            <w:r>
              <w:rPr>
                <w:color w:val="000000"/>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p>
            <w:pPr>
              <w:pStyle w:val="Normal"/>
              <w:widowControl w:val="false"/>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1160107301 0000 140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0,3</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0,3</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firstLine="57" w:right="170"/>
              <w:jc w:val="left"/>
              <w:rPr>
                <w:color w:val="000000"/>
                <w:sz w:val="18"/>
                <w:szCs w:val="18"/>
              </w:rPr>
            </w:pPr>
            <w:r>
              <w:rPr>
                <w:color w:val="000000"/>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p>
            <w:pPr>
              <w:pStyle w:val="Normal"/>
              <w:widowControl w:val="false"/>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1160120301 0000 140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8,65</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9,12</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105,4</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tabs>
                <w:tab w:val="clear" w:pos="720"/>
                <w:tab w:val="left" w:pos="0" w:leader="none"/>
              </w:tabs>
              <w:ind w:firstLine="57" w:right="170"/>
              <w:jc w:val="left"/>
              <w:rPr>
                <w:color w:val="000000"/>
                <w:sz w:val="18"/>
                <w:szCs w:val="18"/>
              </w:rPr>
            </w:pPr>
            <w:r>
              <w:rPr>
                <w:color w:val="000000"/>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p>
            <w:pPr>
              <w:pStyle w:val="Normal"/>
              <w:widowControl w:val="false"/>
              <w:tabs>
                <w:tab w:val="clear" w:pos="720"/>
                <w:tab w:val="left" w:pos="0" w:leader="none"/>
              </w:tabs>
              <w:ind w:firstLine="57"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1160701005 0000 140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41,79</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41,79</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tabs>
                <w:tab w:val="clear" w:pos="720"/>
                <w:tab w:val="left" w:pos="0" w:leader="none"/>
              </w:tabs>
              <w:ind w:firstLine="57" w:right="170"/>
              <w:jc w:val="left"/>
              <w:rPr>
                <w:color w:val="000000"/>
                <w:sz w:val="18"/>
                <w:szCs w:val="18"/>
              </w:rPr>
            </w:pPr>
            <w:r>
              <w:rPr>
                <w:color w:val="000000"/>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p>
            <w:pPr>
              <w:pStyle w:val="Normal"/>
              <w:widowControl w:val="false"/>
              <w:tabs>
                <w:tab w:val="clear" w:pos="720"/>
                <w:tab w:val="left" w:pos="0" w:leader="none"/>
              </w:tabs>
              <w:ind w:firstLine="57"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1160709005 0000 140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214,71</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227,05</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105,7</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0,06</w:t>
            </w:r>
          </w:p>
        </w:tc>
      </w:tr>
      <w:tr>
        <w:trPr/>
        <w:tc>
          <w:tcPr>
            <w:tcW w:w="2490" w:type="dxa"/>
            <w:tcBorders>
              <w:left w:val="single" w:sz="4" w:space="0" w:color="000000"/>
              <w:bottom w:val="single" w:sz="4" w:space="0" w:color="000000"/>
            </w:tcBorders>
          </w:tcPr>
          <w:p>
            <w:pPr>
              <w:pStyle w:val="Normal"/>
              <w:widowControl w:val="false"/>
              <w:tabs>
                <w:tab w:val="clear" w:pos="720"/>
                <w:tab w:val="left" w:pos="0" w:leader="none"/>
              </w:tabs>
              <w:ind w:firstLine="57" w:right="170"/>
              <w:jc w:val="left"/>
              <w:rPr>
                <w:color w:val="000000"/>
                <w:sz w:val="18"/>
                <w:szCs w:val="18"/>
              </w:rPr>
            </w:pPr>
            <w:r>
              <w:rPr>
                <w:color w:val="000000"/>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p>
            <w:pPr>
              <w:pStyle w:val="Normal"/>
              <w:widowControl w:val="false"/>
              <w:tabs>
                <w:tab w:val="clear" w:pos="720"/>
                <w:tab w:val="left" w:pos="0" w:leader="none"/>
              </w:tabs>
              <w:ind w:firstLine="57"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1161012301 0000 140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462,96</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502,92</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108,6</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0,1</w:t>
            </w:r>
          </w:p>
        </w:tc>
      </w:tr>
      <w:tr>
        <w:trPr/>
        <w:tc>
          <w:tcPr>
            <w:tcW w:w="2490" w:type="dxa"/>
            <w:tcBorders>
              <w:left w:val="single" w:sz="4" w:space="0" w:color="000000"/>
              <w:bottom w:val="single" w:sz="4" w:space="0" w:color="000000"/>
            </w:tcBorders>
          </w:tcPr>
          <w:p>
            <w:pPr>
              <w:pStyle w:val="Normal"/>
              <w:widowControl w:val="false"/>
              <w:tabs>
                <w:tab w:val="clear" w:pos="720"/>
                <w:tab w:val="left" w:pos="0" w:leader="none"/>
              </w:tabs>
              <w:ind w:firstLine="57" w:right="170"/>
              <w:jc w:val="left"/>
              <w:rPr>
                <w:color w:val="000000"/>
                <w:sz w:val="18"/>
                <w:szCs w:val="18"/>
              </w:rPr>
            </w:pPr>
            <w:r>
              <w:rPr>
                <w:color w:val="000000"/>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p>
            <w:pPr>
              <w:pStyle w:val="Normal"/>
              <w:widowControl w:val="false"/>
              <w:tabs>
                <w:tab w:val="clear" w:pos="720"/>
                <w:tab w:val="left" w:pos="0" w:leader="none"/>
              </w:tabs>
              <w:ind w:firstLine="57"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1161012901 0000 140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3,46</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3,46</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tabs>
                <w:tab w:val="clear" w:pos="720"/>
                <w:tab w:val="left" w:pos="0" w:leader="none"/>
              </w:tabs>
              <w:ind w:firstLine="57" w:right="170"/>
              <w:jc w:val="left"/>
              <w:rPr>
                <w:sz w:val="18"/>
                <w:szCs w:val="18"/>
              </w:rPr>
            </w:pPr>
            <w:r>
              <w:rPr>
                <w:color w:val="000000"/>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p>
            <w:pPr>
              <w:pStyle w:val="Normal"/>
              <w:widowControl w:val="false"/>
              <w:tabs>
                <w:tab w:val="clear" w:pos="720"/>
                <w:tab w:val="left" w:pos="0" w:leader="none"/>
              </w:tabs>
              <w:ind w:firstLine="57"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1161105001 0000 140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1 936,22</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2 379,98</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122,9</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0,7</w:t>
            </w:r>
          </w:p>
        </w:tc>
      </w:tr>
      <w:tr>
        <w:trPr/>
        <w:tc>
          <w:tcPr>
            <w:tcW w:w="2490" w:type="dxa"/>
            <w:tcBorders>
              <w:left w:val="single" w:sz="4" w:space="0" w:color="000000"/>
              <w:bottom w:val="single" w:sz="4" w:space="0" w:color="000000"/>
            </w:tcBorders>
          </w:tcPr>
          <w:p>
            <w:pPr>
              <w:pStyle w:val="Normal"/>
              <w:widowControl w:val="false"/>
              <w:jc w:val="left"/>
              <w:rPr>
                <w:color w:val="000000"/>
                <w:sz w:val="18"/>
                <w:szCs w:val="18"/>
              </w:rPr>
            </w:pPr>
            <w:r>
              <w:rPr>
                <w:color w:val="000000"/>
                <w:sz w:val="18"/>
                <w:szCs w:val="18"/>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p>
            <w:pPr>
              <w:pStyle w:val="Normal"/>
              <w:widowControl w:val="false"/>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1161800002 0000 140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217,59</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248,11</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114,0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firstLine="57" w:right="170"/>
              <w:jc w:val="center"/>
              <w:rPr>
                <w:sz w:val="18"/>
                <w:szCs w:val="18"/>
              </w:rPr>
            </w:pPr>
            <w:r>
              <w:rPr>
                <w:sz w:val="18"/>
                <w:szCs w:val="18"/>
              </w:rPr>
              <w:t>ПРОЧИЕ НЕНАЛОГОВЫЕ ДОХОДЫ</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1 17 00000 00 0000 000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809,73</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809,73</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0,2</w:t>
            </w:r>
          </w:p>
        </w:tc>
      </w:tr>
      <w:tr>
        <w:trPr/>
        <w:tc>
          <w:tcPr>
            <w:tcW w:w="2490" w:type="dxa"/>
            <w:tcBorders>
              <w:left w:val="single" w:sz="4" w:space="0" w:color="000000"/>
              <w:bottom w:val="single" w:sz="4" w:space="0" w:color="000000"/>
            </w:tcBorders>
          </w:tcPr>
          <w:p>
            <w:pPr>
              <w:pStyle w:val="Normal"/>
              <w:widowControl w:val="false"/>
              <w:ind w:firstLine="57" w:right="170"/>
              <w:jc w:val="left"/>
              <w:rPr>
                <w:sz w:val="18"/>
                <w:szCs w:val="18"/>
              </w:rPr>
            </w:pPr>
            <w:r>
              <w:rPr>
                <w:sz w:val="18"/>
                <w:szCs w:val="18"/>
              </w:rPr>
              <w:t>Инициативные платежи, зачисляемые в бюджеты муниципальных районов</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1 17 15030 05 0000 150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809,73</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809,73</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0,2</w:t>
            </w:r>
          </w:p>
        </w:tc>
      </w:tr>
      <w:tr>
        <w:trPr/>
        <w:tc>
          <w:tcPr>
            <w:tcW w:w="2490" w:type="dxa"/>
            <w:tcBorders>
              <w:left w:val="single" w:sz="4" w:space="0" w:color="000000"/>
              <w:bottom w:val="single" w:sz="4" w:space="0" w:color="000000"/>
            </w:tcBorders>
          </w:tcPr>
          <w:p>
            <w:pPr>
              <w:pStyle w:val="Normal"/>
              <w:widowControl w:val="false"/>
              <w:jc w:val="left"/>
              <w:rPr>
                <w:b/>
                <w:bCs/>
                <w:sz w:val="18"/>
                <w:szCs w:val="18"/>
              </w:rPr>
            </w:pPr>
            <w:r>
              <w:rPr>
                <w:b/>
                <w:bCs/>
                <w:sz w:val="18"/>
                <w:szCs w:val="18"/>
              </w:rPr>
              <w:t>ИТОГО СОБСТВЕННЫЕ ДОХОДЫ</w:t>
            </w:r>
          </w:p>
        </w:tc>
        <w:tc>
          <w:tcPr>
            <w:tcW w:w="745" w:type="dxa"/>
            <w:tcBorders>
              <w:left w:val="single" w:sz="4" w:space="0" w:color="000000"/>
              <w:bottom w:val="single" w:sz="4" w:space="0" w:color="000000"/>
            </w:tcBorders>
          </w:tcPr>
          <w:p>
            <w:pPr>
              <w:pStyle w:val="Normal"/>
              <w:widowControl w:val="false"/>
              <w:jc w:val="center"/>
              <w:rPr>
                <w:b/>
                <w:bCs/>
                <w:sz w:val="18"/>
                <w:szCs w:val="18"/>
              </w:rPr>
            </w:pPr>
            <w:r>
              <w:rPr>
                <w:b/>
                <w:bCs/>
                <w:sz w:val="18"/>
                <w:szCs w:val="18"/>
              </w:rPr>
            </w:r>
          </w:p>
        </w:tc>
        <w:tc>
          <w:tcPr>
            <w:tcW w:w="2155" w:type="dxa"/>
            <w:tcBorders>
              <w:left w:val="single" w:sz="4" w:space="0" w:color="000000"/>
              <w:bottom w:val="single" w:sz="4" w:space="0" w:color="000000"/>
            </w:tcBorders>
          </w:tcPr>
          <w:p>
            <w:pPr>
              <w:pStyle w:val="Normal"/>
              <w:widowControl w:val="false"/>
              <w:jc w:val="center"/>
              <w:rPr>
                <w:b/>
                <w:bCs/>
                <w:sz w:val="18"/>
                <w:szCs w:val="18"/>
              </w:rPr>
            </w:pPr>
            <w:r>
              <w:rPr>
                <w:b/>
                <w:bCs/>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320 792,11</w:t>
            </w:r>
          </w:p>
        </w:tc>
        <w:tc>
          <w:tcPr>
            <w:tcW w:w="1244"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334 511,91</w:t>
            </w:r>
          </w:p>
        </w:tc>
        <w:tc>
          <w:tcPr>
            <w:tcW w:w="1080"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104,3</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b/>
                <w:bCs/>
                <w:sz w:val="18"/>
                <w:szCs w:val="18"/>
              </w:rPr>
            </w:pPr>
            <w:r>
              <w:rPr>
                <w:b/>
                <w:bCs/>
                <w:sz w:val="18"/>
                <w:szCs w:val="18"/>
              </w:rPr>
              <w:t>100,0</w:t>
            </w:r>
          </w:p>
        </w:tc>
      </w:tr>
      <w:tr>
        <w:trPr/>
        <w:tc>
          <w:tcPr>
            <w:tcW w:w="2490" w:type="dxa"/>
            <w:tcBorders>
              <w:left w:val="single" w:sz="4" w:space="0" w:color="000000"/>
              <w:bottom w:val="single" w:sz="4" w:space="0" w:color="000000"/>
            </w:tcBorders>
          </w:tcPr>
          <w:p>
            <w:pPr>
              <w:pStyle w:val="Normal"/>
              <w:widowControl w:val="false"/>
              <w:jc w:val="left"/>
              <w:rPr>
                <w:b/>
                <w:bCs/>
                <w:sz w:val="18"/>
                <w:szCs w:val="18"/>
              </w:rPr>
            </w:pPr>
            <w:r>
              <w:rPr>
                <w:b/>
                <w:bCs/>
                <w:sz w:val="18"/>
                <w:szCs w:val="18"/>
              </w:rPr>
              <w:t>БЕЗВОЗМЕЗДНЫЕ ПОСТУПЛЕНИЯ</w:t>
            </w:r>
          </w:p>
        </w:tc>
        <w:tc>
          <w:tcPr>
            <w:tcW w:w="745"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2 00 00000 00 0000 000</w:t>
            </w:r>
          </w:p>
        </w:tc>
        <w:tc>
          <w:tcPr>
            <w:tcW w:w="1359"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1 923  498,31</w:t>
            </w:r>
          </w:p>
        </w:tc>
        <w:tc>
          <w:tcPr>
            <w:tcW w:w="1244"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1 908 406,37</w:t>
            </w:r>
          </w:p>
        </w:tc>
        <w:tc>
          <w:tcPr>
            <w:tcW w:w="1080"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99,2</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b/>
                <w:bCs/>
                <w:sz w:val="18"/>
                <w:szCs w:val="18"/>
              </w:rPr>
            </w:pPr>
            <w:r>
              <w:rPr>
                <w:b/>
                <w:bCs/>
                <w:sz w:val="18"/>
                <w:szCs w:val="18"/>
              </w:rPr>
              <w:t>100,0</w:t>
            </w:r>
          </w:p>
        </w:tc>
      </w:tr>
      <w:tr>
        <w:trPr/>
        <w:tc>
          <w:tcPr>
            <w:tcW w:w="2490" w:type="dxa"/>
            <w:tcBorders>
              <w:left w:val="single" w:sz="4" w:space="0" w:color="000000"/>
              <w:bottom w:val="single" w:sz="4" w:space="0" w:color="000000"/>
            </w:tcBorders>
          </w:tcPr>
          <w:p>
            <w:pPr>
              <w:pStyle w:val="Normal"/>
              <w:widowControl w:val="false"/>
              <w:jc w:val="left"/>
              <w:rPr>
                <w:b/>
                <w:bCs/>
                <w:sz w:val="18"/>
                <w:szCs w:val="18"/>
              </w:rPr>
            </w:pPr>
            <w:r>
              <w:rPr>
                <w:b/>
                <w:bCs/>
                <w:sz w:val="18"/>
                <w:szCs w:val="18"/>
              </w:rPr>
              <w:t>Безвозмездные поступления от других бюджетов бюджетной системы Российской Федерации</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2 02 00000 00 0000 000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1 923 441,97</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1 908 342,54</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100,0</w:t>
            </w:r>
          </w:p>
        </w:tc>
      </w:tr>
      <w:tr>
        <w:trPr/>
        <w:tc>
          <w:tcPr>
            <w:tcW w:w="2490" w:type="dxa"/>
            <w:tcBorders>
              <w:left w:val="single" w:sz="4" w:space="0" w:color="000000"/>
              <w:bottom w:val="single" w:sz="4" w:space="0" w:color="000000"/>
            </w:tcBorders>
          </w:tcPr>
          <w:p>
            <w:pPr>
              <w:pStyle w:val="Normal"/>
              <w:widowControl w:val="false"/>
              <w:jc w:val="left"/>
              <w:rPr>
                <w:b/>
                <w:bCs/>
                <w:sz w:val="18"/>
                <w:szCs w:val="18"/>
              </w:rPr>
            </w:pPr>
            <w:r>
              <w:rPr>
                <w:b/>
                <w:bCs/>
                <w:sz w:val="18"/>
                <w:szCs w:val="18"/>
              </w:rPr>
              <w:t>Дотации бюджетам субъектов Российской Федерации и муниципальных образований</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2 02 10000 00 0000 150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269 902,2</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269 902,2</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14,1</w:t>
            </w:r>
          </w:p>
        </w:tc>
      </w:tr>
      <w:tr>
        <w:trPr/>
        <w:tc>
          <w:tcPr>
            <w:tcW w:w="2490" w:type="dxa"/>
            <w:tcBorders>
              <w:left w:val="single" w:sz="4" w:space="0" w:color="000000"/>
              <w:bottom w:val="single" w:sz="4" w:space="0" w:color="000000"/>
            </w:tcBorders>
          </w:tcPr>
          <w:p>
            <w:pPr>
              <w:pStyle w:val="Normal"/>
              <w:widowControl w:val="false"/>
              <w:ind w:firstLine="57" w:right="170"/>
              <w:jc w:val="left"/>
              <w:rPr>
                <w:sz w:val="18"/>
                <w:szCs w:val="18"/>
              </w:rPr>
            </w:pPr>
            <w:r>
              <w:rPr>
                <w:sz w:val="18"/>
                <w:szCs w:val="18"/>
              </w:rPr>
              <w:t>Дотации бюджетам муниципальных районов на выравнивание бюджетной обеспеченности</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2 02 15001 05 0000 150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157 955,20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157 955,20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8,3</w:t>
            </w:r>
          </w:p>
        </w:tc>
      </w:tr>
      <w:tr>
        <w:trPr/>
        <w:tc>
          <w:tcPr>
            <w:tcW w:w="2490" w:type="dxa"/>
            <w:tcBorders>
              <w:left w:val="single" w:sz="4" w:space="0" w:color="000000"/>
              <w:bottom w:val="single" w:sz="4" w:space="0" w:color="000000"/>
            </w:tcBorders>
          </w:tcPr>
          <w:p>
            <w:pPr>
              <w:pStyle w:val="Normal"/>
              <w:widowControl w:val="false"/>
              <w:ind w:firstLine="57" w:right="170"/>
              <w:jc w:val="left"/>
              <w:rPr>
                <w:sz w:val="18"/>
                <w:szCs w:val="18"/>
              </w:rPr>
            </w:pPr>
            <w:r>
              <w:rPr>
                <w:sz w:val="18"/>
                <w:szCs w:val="18"/>
              </w:rPr>
              <w:t>Дотации бюджетам муниципальных районов на сбалансированность</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2 02 15002 05 0000 150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111 947,00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111 947,00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5,8</w:t>
            </w:r>
          </w:p>
        </w:tc>
      </w:tr>
      <w:tr>
        <w:trPr/>
        <w:tc>
          <w:tcPr>
            <w:tcW w:w="2490" w:type="dxa"/>
            <w:tcBorders>
              <w:left w:val="single" w:sz="4" w:space="0" w:color="000000"/>
              <w:bottom w:val="single" w:sz="4" w:space="0" w:color="000000"/>
            </w:tcBorders>
          </w:tcPr>
          <w:p>
            <w:pPr>
              <w:pStyle w:val="Normal"/>
              <w:widowControl w:val="false"/>
              <w:jc w:val="left"/>
              <w:rPr>
                <w:b/>
                <w:bCs/>
                <w:sz w:val="18"/>
                <w:szCs w:val="18"/>
              </w:rPr>
            </w:pPr>
            <w:r>
              <w:rPr>
                <w:b/>
                <w:bCs/>
                <w:sz w:val="18"/>
                <w:szCs w:val="18"/>
              </w:rPr>
              <w:t>Субсидии бюджетам субъектов Российской Федерации и муниципальных образований (межбюджетные субсидии)</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2 02 20000 00 0000 150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103 412,10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91 405,70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88,4</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4,8</w:t>
            </w:r>
          </w:p>
        </w:tc>
      </w:tr>
      <w:tr>
        <w:trPr/>
        <w:tc>
          <w:tcPr>
            <w:tcW w:w="2490" w:type="dxa"/>
            <w:tcBorders>
              <w:left w:val="single" w:sz="4" w:space="0" w:color="000000"/>
              <w:bottom w:val="single" w:sz="4" w:space="0" w:color="000000"/>
            </w:tcBorders>
          </w:tcPr>
          <w:p>
            <w:pPr>
              <w:pStyle w:val="Normal"/>
              <w:widowControl w:val="false"/>
              <w:ind w:firstLine="57" w:right="170"/>
              <w:jc w:val="left"/>
              <w:rPr>
                <w:color w:val="000000"/>
                <w:sz w:val="18"/>
                <w:szCs w:val="18"/>
              </w:rPr>
            </w:pPr>
            <w:r>
              <w:rPr>
                <w:color w:val="000000"/>
                <w:sz w:val="18"/>
                <w:szCs w:val="18"/>
              </w:rPr>
              <w:t>Субсидии бюджетам муниципальных районов на поддержку отрасли культуры</w:t>
            </w:r>
          </w:p>
          <w:p>
            <w:pPr>
              <w:pStyle w:val="Normal"/>
              <w:widowControl w:val="false"/>
              <w:ind w:firstLine="57"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2022551905 0000 150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160,61</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160,61</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firstLine="57" w:right="170"/>
              <w:jc w:val="left"/>
              <w:rPr>
                <w:color w:val="000000"/>
                <w:sz w:val="18"/>
                <w:szCs w:val="18"/>
              </w:rPr>
            </w:pPr>
            <w:r>
              <w:rPr>
                <w:color w:val="000000"/>
                <w:sz w:val="18"/>
                <w:szCs w:val="18"/>
              </w:rPr>
              <w:t>Субсидии бюджетам муниципальных районов на реализацию мероприятий по модернизации школьных систем образования</w:t>
            </w:r>
          </w:p>
          <w:p>
            <w:pPr>
              <w:pStyle w:val="Normal"/>
              <w:widowControl w:val="false"/>
              <w:ind w:firstLine="57"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2022575005 0000 150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51 548,71</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51 254,52</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99,4</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2,7</w:t>
            </w:r>
          </w:p>
        </w:tc>
      </w:tr>
      <w:tr>
        <w:trPr/>
        <w:tc>
          <w:tcPr>
            <w:tcW w:w="2490" w:type="dxa"/>
            <w:tcBorders>
              <w:left w:val="single" w:sz="4" w:space="0" w:color="000000"/>
              <w:bottom w:val="single" w:sz="4" w:space="0" w:color="000000"/>
            </w:tcBorders>
          </w:tcPr>
          <w:p>
            <w:pPr>
              <w:pStyle w:val="Normal"/>
              <w:widowControl w:val="false"/>
              <w:ind w:firstLine="57" w:right="170"/>
              <w:jc w:val="left"/>
              <w:rPr>
                <w:color w:val="000000"/>
                <w:sz w:val="18"/>
                <w:szCs w:val="18"/>
              </w:rPr>
            </w:pPr>
            <w:r>
              <w:rPr>
                <w:color w:val="000000"/>
                <w:sz w:val="18"/>
                <w:szCs w:val="18"/>
              </w:rPr>
              <w:t>Прочие субсидии бюджетам муниципальных районов</w:t>
            </w:r>
          </w:p>
          <w:p>
            <w:pPr>
              <w:pStyle w:val="Normal"/>
              <w:widowControl w:val="false"/>
              <w:ind w:firstLine="57"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2022999905 0000 150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33 139,58</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21 526,98</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64,9</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1,1</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8"/>
                <w:szCs w:val="18"/>
              </w:rPr>
            </w:pPr>
            <w:r>
              <w:rPr>
                <w:color w:val="000000"/>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p>
            <w:pPr>
              <w:pStyle w:val="Normal"/>
              <w:widowControl w:val="false"/>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2022530400 0000 150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18 563,20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18 463,58</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99,5</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1,0</w:t>
            </w:r>
          </w:p>
        </w:tc>
      </w:tr>
      <w:tr>
        <w:trPr/>
        <w:tc>
          <w:tcPr>
            <w:tcW w:w="2490" w:type="dxa"/>
            <w:tcBorders>
              <w:left w:val="single" w:sz="4" w:space="0" w:color="000000"/>
              <w:bottom w:val="single" w:sz="4" w:space="0" w:color="000000"/>
            </w:tcBorders>
          </w:tcPr>
          <w:p>
            <w:pPr>
              <w:pStyle w:val="Normal"/>
              <w:widowControl w:val="false"/>
              <w:jc w:val="center"/>
              <w:rPr>
                <w:b/>
                <w:bCs/>
                <w:sz w:val="18"/>
                <w:szCs w:val="18"/>
              </w:rPr>
            </w:pPr>
            <w:r>
              <w:rPr>
                <w:b/>
                <w:bCs/>
                <w:sz w:val="18"/>
                <w:szCs w:val="18"/>
              </w:rPr>
              <w:t>Субвенции бюджетам субъектов Российской Федерации и муниципальных образований</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2 02 30000 00 0000 150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1 369 922,90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1 369 495,45</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99,9</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71,8</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Субвенции бюджетам муниципальных районов  на выполнение передаваемых полномочий субъектов РФ</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2 02 30024 05 0000 150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284 751,60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283 945,80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99,7</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14,9</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8"/>
                <w:szCs w:val="18"/>
              </w:rPr>
            </w:pPr>
            <w:r>
              <w:rPr>
                <w:color w:val="000000"/>
                <w:sz w:val="18"/>
                <w:szCs w:val="18"/>
              </w:rPr>
              <w:t>Субвенции бюджетам муниципальных районов на выполнение передаваемых полномочий субъектов Российской Федерации</w:t>
            </w:r>
          </w:p>
          <w:p>
            <w:pPr>
              <w:pStyle w:val="Normal"/>
              <w:widowControl w:val="false"/>
              <w:ind w:hanging="0"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2023002405 0000 150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301 039,90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300 612,49</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99,8</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15,8</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2 02 35120 05 0000 150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5,3</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5,3</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8"/>
                <w:szCs w:val="18"/>
              </w:rPr>
            </w:pPr>
            <w:r>
              <w:rPr>
                <w:color w:val="000000"/>
                <w:sz w:val="18"/>
                <w:szCs w:val="18"/>
              </w:rPr>
              <w:t>Единая субвенция бюджетам муниципальных районов из бюджета субъекта Российской Федерации</w:t>
            </w:r>
          </w:p>
          <w:p>
            <w:pPr>
              <w:pStyle w:val="Normal"/>
              <w:widowControl w:val="false"/>
              <w:ind w:hanging="0"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2023690005 0000 150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6 594,50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6 594,50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0,3</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Прочие субвенции, зачисляемые в бюджеты муниципальных районов</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2 02 39999 05 0000 150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1 062 283,20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1 062 283,15</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55,7</w:t>
            </w:r>
          </w:p>
        </w:tc>
      </w:tr>
      <w:tr>
        <w:trPr/>
        <w:tc>
          <w:tcPr>
            <w:tcW w:w="2490" w:type="dxa"/>
            <w:tcBorders>
              <w:left w:val="single" w:sz="4" w:space="0" w:color="000000"/>
              <w:bottom w:val="single" w:sz="4" w:space="0" w:color="000000"/>
            </w:tcBorders>
          </w:tcPr>
          <w:p>
            <w:pPr>
              <w:pStyle w:val="Normal"/>
              <w:widowControl w:val="false"/>
              <w:ind w:hanging="0" w:right="170"/>
              <w:jc w:val="left"/>
              <w:rPr>
                <w:b/>
                <w:bCs/>
                <w:sz w:val="18"/>
                <w:szCs w:val="18"/>
              </w:rPr>
            </w:pPr>
            <w:r>
              <w:rPr>
                <w:b/>
                <w:bCs/>
                <w:sz w:val="18"/>
                <w:szCs w:val="18"/>
              </w:rPr>
              <w:t>Иные межбюджетные трансферты</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2 02 04000 00 0000 150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180 204,77</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177 539,18</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98,5</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9,3</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2 02 40014 05 0000 150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92 698,85</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90 381,21</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97,5</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4,7</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2 02 45050 05 0000 150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2 300,00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2 300,00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2 02 45179 05 0000 150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6 810,20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6 810,00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1,3</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2 02 45303 05 0000 150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64 309,40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63 961,80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99,6</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3,3</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Межбюджетные трансферты, передаваемые бюджетам муниципальных районов на поддержку отрасли культуры</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2 02 45519 05 0000 150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52,10</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52,10</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Иные межбюджетные трансферты</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992</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2 02 49999 05 0000 150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14 086,32</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14 086,16</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0,7</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ПРОЧИЕ БЕЗВОЗМЕЗДНЫЕ ПОСТУПЛЕНИЯ</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2 07 00000 00 0000 000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80,87</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88,37</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109,3</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hanging="0" w:right="170"/>
              <w:jc w:val="left"/>
              <w:rPr>
                <w:sz w:val="18"/>
                <w:szCs w:val="18"/>
              </w:rPr>
            </w:pPr>
            <w:r>
              <w:rPr>
                <w:sz w:val="18"/>
                <w:szCs w:val="18"/>
              </w:rPr>
              <w:t>Поступления от денежных пожертвований, предоставляемых физическими лицами получателям средств бюджетов муниципальных районов</w:t>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2 07 05020 050000 150</w:t>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80,87</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88,37</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109,3</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0,0</w:t>
            </w:r>
          </w:p>
        </w:tc>
      </w:tr>
      <w:tr>
        <w:trPr/>
        <w:tc>
          <w:tcPr>
            <w:tcW w:w="2490" w:type="dxa"/>
            <w:tcBorders>
              <w:left w:val="single" w:sz="4" w:space="0" w:color="000000"/>
              <w:bottom w:val="single" w:sz="4" w:space="0" w:color="000000"/>
            </w:tcBorders>
          </w:tcPr>
          <w:p>
            <w:pPr>
              <w:pStyle w:val="Normal"/>
              <w:widowControl w:val="false"/>
              <w:ind w:hanging="0" w:right="170"/>
              <w:jc w:val="left"/>
              <w:rPr>
                <w:rFonts w:ascii="Arial" w:hAnsi="Arial"/>
                <w:color w:val="000000"/>
                <w:sz w:val="16"/>
                <w:szCs w:val="18"/>
              </w:rPr>
            </w:pPr>
            <w:r>
              <w:rPr>
                <w:rFonts w:ascii="Arial" w:hAnsi="Arial"/>
                <w:color w:val="000000"/>
                <w:sz w:val="16"/>
                <w:szCs w:val="18"/>
              </w:rPr>
              <w:t>ВОЗВРАТ ОСТАТКОВ СУБСИДИЙ, СУБВЕНЦИЙ И ИНЫХ МЕЖБЮДЖЕТНЫХ ТРАНСФЕРТОВ, ИМЕЮЩИХ ЦЕЛЕВОЕ НАЗНАЧЕНИЕ, ПРОШЛЫХ ЛЕТ</w:t>
            </w:r>
          </w:p>
          <w:p>
            <w:pPr>
              <w:pStyle w:val="Normal"/>
              <w:widowControl w:val="false"/>
              <w:ind w:hanging="0"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2190000000 0000 000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-24,53</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-24,53</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w:t>
            </w:r>
          </w:p>
        </w:tc>
      </w:tr>
      <w:tr>
        <w:trPr/>
        <w:tc>
          <w:tcPr>
            <w:tcW w:w="2490" w:type="dxa"/>
            <w:tcBorders>
              <w:left w:val="single" w:sz="4" w:space="0" w:color="000000"/>
              <w:bottom w:val="single" w:sz="4" w:space="0" w:color="000000"/>
            </w:tcBorders>
          </w:tcPr>
          <w:p>
            <w:pPr>
              <w:pStyle w:val="Normal"/>
              <w:widowControl w:val="false"/>
              <w:ind w:hanging="0" w:right="170"/>
              <w:jc w:val="left"/>
              <w:rPr>
                <w:color w:val="000000"/>
                <w:sz w:val="18"/>
                <w:szCs w:val="18"/>
              </w:rPr>
            </w:pPr>
            <w:r>
              <w:rPr>
                <w:color w:val="000000"/>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p>
            <w:pPr>
              <w:pStyle w:val="Normal"/>
              <w:widowControl w:val="false"/>
              <w:ind w:hanging="0" w:right="170"/>
              <w:jc w:val="left"/>
              <w:rPr>
                <w:sz w:val="18"/>
                <w:szCs w:val="18"/>
              </w:rPr>
            </w:pPr>
            <w:r>
              <w:rPr>
                <w:sz w:val="18"/>
                <w:szCs w:val="18"/>
              </w:rPr>
            </w:r>
          </w:p>
        </w:tc>
        <w:tc>
          <w:tcPr>
            <w:tcW w:w="745"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000</w:t>
            </w:r>
          </w:p>
        </w:tc>
        <w:tc>
          <w:tcPr>
            <w:tcW w:w="2155" w:type="dxa"/>
            <w:tcBorders>
              <w:left w:val="single" w:sz="4" w:space="0" w:color="000000"/>
              <w:bottom w:val="single" w:sz="4" w:space="0" w:color="000000"/>
            </w:tcBorders>
          </w:tcPr>
          <w:p>
            <w:pPr>
              <w:pStyle w:val="Normal"/>
              <w:widowControl w:val="false"/>
              <w:ind w:hanging="0" w:right="176"/>
              <w:jc w:val="center"/>
              <w:rPr>
                <w:rFonts w:ascii="Arial" w:hAnsi="Arial"/>
                <w:color w:val="000000"/>
                <w:sz w:val="16"/>
                <w:szCs w:val="18"/>
              </w:rPr>
            </w:pPr>
            <w:r>
              <w:rPr>
                <w:rFonts w:ascii="Arial" w:hAnsi="Arial"/>
                <w:color w:val="000000"/>
                <w:sz w:val="16"/>
                <w:szCs w:val="18"/>
              </w:rPr>
              <w:t xml:space="preserve">  </w:t>
            </w:r>
            <w:r>
              <w:rPr>
                <w:rFonts w:ascii="Arial" w:hAnsi="Arial"/>
                <w:color w:val="000000"/>
                <w:sz w:val="16"/>
                <w:szCs w:val="18"/>
              </w:rPr>
              <w:t>2196001005 0000 150</w:t>
            </w:r>
          </w:p>
          <w:p>
            <w:pPr>
              <w:pStyle w:val="Normal"/>
              <w:widowControl w:val="false"/>
              <w:ind w:hanging="0" w:right="176"/>
              <w:jc w:val="center"/>
              <w:rPr>
                <w:sz w:val="18"/>
                <w:szCs w:val="18"/>
              </w:rPr>
            </w:pPr>
            <w:r>
              <w:rPr>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-24,53</w:t>
            </w:r>
          </w:p>
        </w:tc>
        <w:tc>
          <w:tcPr>
            <w:tcW w:w="1244"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-24,53</w:t>
            </w:r>
          </w:p>
        </w:tc>
        <w:tc>
          <w:tcPr>
            <w:tcW w:w="1080" w:type="dxa"/>
            <w:tcBorders>
              <w:left w:val="single" w:sz="4" w:space="0" w:color="000000"/>
              <w:bottom w:val="single" w:sz="4" w:space="0" w:color="000000"/>
            </w:tcBorders>
          </w:tcPr>
          <w:p>
            <w:pPr>
              <w:pStyle w:val="Normal"/>
              <w:widowControl w:val="false"/>
              <w:ind w:hanging="0" w:right="176"/>
              <w:jc w:val="center"/>
              <w:rPr>
                <w:sz w:val="18"/>
                <w:szCs w:val="18"/>
              </w:rPr>
            </w:pPr>
            <w:r>
              <w:rPr>
                <w:sz w:val="18"/>
                <w:szCs w:val="18"/>
              </w:rPr>
              <w:t>100,0</w:t>
            </w:r>
          </w:p>
        </w:tc>
        <w:tc>
          <w:tcPr>
            <w:tcW w:w="622" w:type="dxa"/>
            <w:tcBorders>
              <w:left w:val="single" w:sz="4" w:space="0" w:color="000000"/>
              <w:bottom w:val="single" w:sz="4" w:space="0" w:color="000000"/>
              <w:right w:val="single" w:sz="4" w:space="0" w:color="000000"/>
            </w:tcBorders>
          </w:tcPr>
          <w:p>
            <w:pPr>
              <w:pStyle w:val="Normal"/>
              <w:widowControl w:val="false"/>
              <w:ind w:hanging="0" w:right="176"/>
              <w:jc w:val="center"/>
              <w:rPr>
                <w:sz w:val="18"/>
                <w:szCs w:val="18"/>
              </w:rPr>
            </w:pPr>
            <w:r>
              <w:rPr>
                <w:sz w:val="18"/>
                <w:szCs w:val="18"/>
              </w:rPr>
              <w:t>0</w:t>
            </w:r>
          </w:p>
        </w:tc>
      </w:tr>
      <w:tr>
        <w:trPr>
          <w:trHeight w:val="615" w:hRule="atLeast"/>
        </w:trPr>
        <w:tc>
          <w:tcPr>
            <w:tcW w:w="2490" w:type="dxa"/>
            <w:tcBorders>
              <w:left w:val="single" w:sz="4" w:space="0" w:color="000000"/>
              <w:bottom w:val="single" w:sz="4" w:space="0" w:color="000000"/>
            </w:tcBorders>
          </w:tcPr>
          <w:p>
            <w:pPr>
              <w:pStyle w:val="Normal"/>
              <w:widowControl w:val="false"/>
              <w:ind w:hanging="0" w:right="176"/>
              <w:jc w:val="center"/>
              <w:rPr>
                <w:b/>
                <w:bCs/>
                <w:sz w:val="22"/>
                <w:szCs w:val="22"/>
              </w:rPr>
            </w:pPr>
            <w:r>
              <w:rPr>
                <w:b/>
                <w:bCs/>
                <w:sz w:val="22"/>
                <w:szCs w:val="22"/>
              </w:rPr>
              <w:t>Итого доходов</w:t>
            </w:r>
          </w:p>
        </w:tc>
        <w:tc>
          <w:tcPr>
            <w:tcW w:w="745" w:type="dxa"/>
            <w:tcBorders>
              <w:left w:val="single" w:sz="4" w:space="0" w:color="000000"/>
              <w:bottom w:val="single" w:sz="4" w:space="0" w:color="000000"/>
            </w:tcBorders>
          </w:tcPr>
          <w:p>
            <w:pPr>
              <w:pStyle w:val="Normal"/>
              <w:widowControl w:val="false"/>
              <w:jc w:val="center"/>
              <w:rPr>
                <w:b/>
                <w:bCs/>
                <w:sz w:val="18"/>
                <w:szCs w:val="18"/>
              </w:rPr>
            </w:pPr>
            <w:r>
              <w:rPr>
                <w:b/>
                <w:bCs/>
                <w:sz w:val="18"/>
                <w:szCs w:val="18"/>
              </w:rPr>
            </w:r>
          </w:p>
        </w:tc>
        <w:tc>
          <w:tcPr>
            <w:tcW w:w="2155" w:type="dxa"/>
            <w:tcBorders>
              <w:left w:val="single" w:sz="4" w:space="0" w:color="000000"/>
              <w:bottom w:val="single" w:sz="4" w:space="0" w:color="000000"/>
            </w:tcBorders>
          </w:tcPr>
          <w:p>
            <w:pPr>
              <w:pStyle w:val="Normal"/>
              <w:widowControl w:val="false"/>
              <w:jc w:val="center"/>
              <w:rPr>
                <w:b/>
                <w:bCs/>
                <w:sz w:val="18"/>
                <w:szCs w:val="18"/>
              </w:rPr>
            </w:pPr>
            <w:r>
              <w:rPr>
                <w:b/>
                <w:bCs/>
                <w:sz w:val="18"/>
                <w:szCs w:val="18"/>
              </w:rPr>
            </w:r>
          </w:p>
        </w:tc>
        <w:tc>
          <w:tcPr>
            <w:tcW w:w="1359"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2 244 290,42</w:t>
            </w:r>
          </w:p>
        </w:tc>
        <w:tc>
          <w:tcPr>
            <w:tcW w:w="1244"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2 242 918,28</w:t>
            </w:r>
          </w:p>
        </w:tc>
        <w:tc>
          <w:tcPr>
            <w:tcW w:w="1080" w:type="dxa"/>
            <w:tcBorders>
              <w:left w:val="single" w:sz="4" w:space="0" w:color="000000"/>
              <w:bottom w:val="single" w:sz="4" w:space="0" w:color="000000"/>
            </w:tcBorders>
          </w:tcPr>
          <w:p>
            <w:pPr>
              <w:pStyle w:val="Normal"/>
              <w:widowControl w:val="false"/>
              <w:ind w:hanging="0" w:right="176"/>
              <w:jc w:val="center"/>
              <w:rPr>
                <w:b/>
                <w:bCs/>
                <w:sz w:val="18"/>
                <w:szCs w:val="18"/>
              </w:rPr>
            </w:pPr>
            <w:r>
              <w:rPr>
                <w:b/>
                <w:bCs/>
                <w:sz w:val="18"/>
                <w:szCs w:val="18"/>
              </w:rPr>
              <w:t>99,9</w:t>
            </w:r>
          </w:p>
        </w:tc>
        <w:tc>
          <w:tcPr>
            <w:tcW w:w="622" w:type="dxa"/>
            <w:tcBorders>
              <w:left w:val="single" w:sz="4" w:space="0" w:color="000000"/>
              <w:bottom w:val="single" w:sz="4" w:space="0" w:color="000000"/>
              <w:right w:val="single" w:sz="4" w:space="0" w:color="000000"/>
            </w:tcBorders>
          </w:tcPr>
          <w:p>
            <w:pPr>
              <w:pStyle w:val="Normal"/>
              <w:widowControl w:val="false"/>
              <w:jc w:val="center"/>
              <w:rPr>
                <w:sz w:val="18"/>
                <w:szCs w:val="18"/>
              </w:rPr>
            </w:pPr>
            <w:r>
              <w:rPr>
                <w:sz w:val="18"/>
                <w:szCs w:val="18"/>
              </w:rPr>
            </w:r>
          </w:p>
        </w:tc>
      </w:tr>
    </w:tbl>
    <w:p>
      <w:pPr>
        <w:pStyle w:val="Normal"/>
        <w:jc w:val="center"/>
        <w:rPr>
          <w:sz w:val="20"/>
          <w:szCs w:val="20"/>
        </w:rPr>
      </w:pPr>
      <w:r>
        <w:rPr>
          <w:sz w:val="20"/>
          <w:szCs w:val="20"/>
        </w:rPr>
      </w:r>
    </w:p>
    <w:p>
      <w:pPr>
        <w:pStyle w:val="Normal"/>
        <w:ind w:firstLine="709" w:right="27"/>
        <w:rPr>
          <w:sz w:val="25"/>
          <w:szCs w:val="25"/>
        </w:rPr>
      </w:pPr>
      <w:r>
        <w:rPr>
          <w:sz w:val="25"/>
          <w:szCs w:val="25"/>
        </w:rPr>
      </w:r>
    </w:p>
    <w:p>
      <w:pPr>
        <w:pStyle w:val="Normal"/>
        <w:ind w:firstLine="709" w:right="27"/>
        <w:rPr/>
      </w:pPr>
      <w:r>
        <w:rPr>
          <w:sz w:val="25"/>
          <w:szCs w:val="25"/>
        </w:rPr>
        <w:t xml:space="preserve">Всего за 2025 год поступило доходов в бюджет Тулунского муниципального района в сумме 2 242 918, 28 тыс. руб., в том числе поступление собственных доходов </w:t>
      </w:r>
      <w:r>
        <w:rPr/>
        <w:t>334 511,91</w:t>
      </w:r>
      <w:r>
        <w:rPr>
          <w:sz w:val="25"/>
          <w:szCs w:val="25"/>
        </w:rPr>
        <w:t xml:space="preserve"> тыс. руб. (14,9% от общего поступления доходов бюджета района), безвозмездных перечислений в сумме </w:t>
      </w:r>
      <w:r>
        <w:rPr/>
        <w:t>1 908 406,37</w:t>
      </w:r>
      <w:r>
        <w:rPr>
          <w:sz w:val="25"/>
          <w:szCs w:val="25"/>
        </w:rPr>
        <w:t xml:space="preserve"> тыс. руб. (85,1% от общего поступления доходов бюджета района). </w:t>
      </w:r>
    </w:p>
    <w:p>
      <w:pPr>
        <w:pStyle w:val="Normal"/>
        <w:ind w:firstLine="709" w:right="27"/>
        <w:rPr/>
      </w:pPr>
      <w:r>
        <w:rPr>
          <w:sz w:val="25"/>
          <w:szCs w:val="25"/>
        </w:rPr>
        <w:t>Из суммы поступлений собственных доходов налоговые доходы составляют 280 335,8 тыс. руб. (83,8% от собственных доходов); неналоговые доходы 54 176,1 тыс. руб. (16,2% от собственных доходов).</w:t>
      </w:r>
    </w:p>
    <w:p>
      <w:pPr>
        <w:pStyle w:val="Normal"/>
        <w:ind w:hanging="0" w:right="0"/>
        <w:rPr>
          <w:bCs/>
          <w:sz w:val="25"/>
          <w:szCs w:val="25"/>
        </w:rPr>
      </w:pPr>
      <w:r>
        <w:rPr>
          <w:bCs/>
          <w:sz w:val="25"/>
          <w:szCs w:val="25"/>
        </w:rPr>
        <w:t xml:space="preserve">           </w:t>
      </w:r>
      <w:r>
        <w:rPr>
          <w:bCs/>
          <w:sz w:val="25"/>
          <w:szCs w:val="25"/>
        </w:rPr>
        <w:t xml:space="preserve">Из 14-ти запланированных доходных источников план выполнен по 13-ти. </w:t>
      </w:r>
    </w:p>
    <w:p>
      <w:pPr>
        <w:pStyle w:val="Normal"/>
        <w:ind w:hanging="0" w:right="176"/>
        <w:rPr>
          <w:sz w:val="25"/>
          <w:szCs w:val="25"/>
        </w:rPr>
      </w:pPr>
      <w:r>
        <w:rPr>
          <w:sz w:val="25"/>
          <w:szCs w:val="25"/>
        </w:rPr>
        <w:t xml:space="preserve">Выполнение утверждённого плана доходов в разрезе доходных источников составило: </w:t>
      </w:r>
    </w:p>
    <w:p>
      <w:pPr>
        <w:pStyle w:val="Normal"/>
        <w:numPr>
          <w:ilvl w:val="0"/>
          <w:numId w:val="1"/>
        </w:numPr>
        <w:tabs>
          <w:tab w:val="clear" w:pos="720"/>
          <w:tab w:val="left" w:pos="502" w:leader="none"/>
          <w:tab w:val="left" w:pos="644" w:leader="none"/>
        </w:tabs>
        <w:ind w:hanging="360" w:left="502" w:right="176"/>
        <w:rPr>
          <w:sz w:val="25"/>
          <w:szCs w:val="25"/>
        </w:rPr>
      </w:pPr>
      <w:r>
        <w:rPr>
          <w:sz w:val="25"/>
          <w:szCs w:val="25"/>
        </w:rPr>
        <w:t>Налог на доходы физических лиц                                                   104,2 %</w:t>
      </w:r>
    </w:p>
    <w:p>
      <w:pPr>
        <w:pStyle w:val="Normal"/>
        <w:numPr>
          <w:ilvl w:val="0"/>
          <w:numId w:val="1"/>
        </w:numPr>
        <w:tabs>
          <w:tab w:val="clear" w:pos="720"/>
          <w:tab w:val="left" w:pos="502" w:leader="none"/>
          <w:tab w:val="left" w:pos="644" w:leader="none"/>
        </w:tabs>
        <w:ind w:hanging="360" w:left="502" w:right="176"/>
        <w:rPr>
          <w:sz w:val="25"/>
          <w:szCs w:val="25"/>
        </w:rPr>
      </w:pPr>
      <w:r>
        <w:rPr>
          <w:sz w:val="25"/>
          <w:szCs w:val="25"/>
        </w:rPr>
        <w:t>Доходы от уплаты акцизов                                                              100,1 %</w:t>
      </w:r>
    </w:p>
    <w:p>
      <w:pPr>
        <w:pStyle w:val="Normal"/>
        <w:numPr>
          <w:ilvl w:val="0"/>
          <w:numId w:val="1"/>
        </w:numPr>
        <w:tabs>
          <w:tab w:val="clear" w:pos="720"/>
          <w:tab w:val="left" w:pos="502" w:leader="none"/>
          <w:tab w:val="left" w:pos="644" w:leader="none"/>
        </w:tabs>
        <w:ind w:hanging="360" w:left="502" w:right="176"/>
        <w:rPr>
          <w:sz w:val="25"/>
          <w:szCs w:val="25"/>
        </w:rPr>
      </w:pPr>
      <w:r>
        <w:rPr>
          <w:sz w:val="25"/>
          <w:szCs w:val="25"/>
        </w:rPr>
        <w:t>Упрощенная система налогообложения                                         101,4 %</w:t>
      </w:r>
    </w:p>
    <w:p>
      <w:pPr>
        <w:pStyle w:val="Normal"/>
        <w:numPr>
          <w:ilvl w:val="0"/>
          <w:numId w:val="1"/>
        </w:numPr>
        <w:tabs>
          <w:tab w:val="clear" w:pos="720"/>
          <w:tab w:val="left" w:pos="502" w:leader="none"/>
          <w:tab w:val="left" w:pos="644" w:leader="none"/>
        </w:tabs>
        <w:ind w:hanging="360" w:left="502" w:right="176"/>
        <w:rPr>
          <w:sz w:val="25"/>
          <w:szCs w:val="25"/>
        </w:rPr>
      </w:pPr>
      <w:r>
        <w:rPr>
          <w:sz w:val="25"/>
          <w:szCs w:val="25"/>
        </w:rPr>
        <w:t>Единый налог на вмененный доход                                                100,0 %</w:t>
      </w:r>
    </w:p>
    <w:p>
      <w:pPr>
        <w:pStyle w:val="Normal"/>
        <w:numPr>
          <w:ilvl w:val="0"/>
          <w:numId w:val="1"/>
        </w:numPr>
        <w:tabs>
          <w:tab w:val="clear" w:pos="720"/>
          <w:tab w:val="left" w:pos="502" w:leader="none"/>
          <w:tab w:val="left" w:pos="644" w:leader="none"/>
          <w:tab w:val="left" w:pos="8222" w:leader="none"/>
        </w:tabs>
        <w:ind w:hanging="360" w:left="502" w:right="176"/>
        <w:rPr>
          <w:sz w:val="25"/>
          <w:szCs w:val="25"/>
        </w:rPr>
      </w:pPr>
      <w:r>
        <w:rPr>
          <w:sz w:val="25"/>
          <w:szCs w:val="25"/>
        </w:rPr>
        <w:t>Единый сельскохозяйственный налог                                             100,0 %</w:t>
      </w:r>
    </w:p>
    <w:p>
      <w:pPr>
        <w:pStyle w:val="Normal"/>
        <w:numPr>
          <w:ilvl w:val="0"/>
          <w:numId w:val="1"/>
        </w:numPr>
        <w:tabs>
          <w:tab w:val="clear" w:pos="720"/>
          <w:tab w:val="left" w:pos="502" w:leader="none"/>
          <w:tab w:val="left" w:pos="644" w:leader="none"/>
        </w:tabs>
        <w:ind w:hanging="360" w:left="502" w:right="176"/>
        <w:rPr>
          <w:sz w:val="25"/>
          <w:szCs w:val="25"/>
        </w:rPr>
      </w:pPr>
      <w:r>
        <w:rPr>
          <w:sz w:val="25"/>
          <w:szCs w:val="25"/>
        </w:rPr>
        <w:t>Патентная система налогообложения                                             134,1 %</w:t>
      </w:r>
    </w:p>
    <w:p>
      <w:pPr>
        <w:pStyle w:val="Normal"/>
        <w:numPr>
          <w:ilvl w:val="0"/>
          <w:numId w:val="1"/>
        </w:numPr>
        <w:tabs>
          <w:tab w:val="clear" w:pos="720"/>
          <w:tab w:val="left" w:pos="502" w:leader="none"/>
          <w:tab w:val="left" w:pos="644" w:leader="none"/>
        </w:tabs>
        <w:ind w:hanging="360" w:left="502" w:right="176"/>
        <w:rPr>
          <w:sz w:val="25"/>
          <w:szCs w:val="25"/>
        </w:rPr>
      </w:pPr>
      <w:r>
        <w:rPr>
          <w:sz w:val="25"/>
          <w:szCs w:val="25"/>
        </w:rPr>
        <w:t>Государственная пошлина                                                                106,0 %</w:t>
      </w:r>
    </w:p>
    <w:p>
      <w:pPr>
        <w:pStyle w:val="Normal"/>
        <w:numPr>
          <w:ilvl w:val="0"/>
          <w:numId w:val="1"/>
        </w:numPr>
        <w:tabs>
          <w:tab w:val="clear" w:pos="720"/>
          <w:tab w:val="left" w:pos="502" w:leader="none"/>
          <w:tab w:val="left" w:pos="644" w:leader="none"/>
        </w:tabs>
        <w:ind w:hanging="360" w:left="502" w:right="176"/>
        <w:rPr>
          <w:sz w:val="25"/>
          <w:szCs w:val="25"/>
        </w:rPr>
      </w:pPr>
      <w:r>
        <w:rPr>
          <w:sz w:val="25"/>
          <w:szCs w:val="25"/>
        </w:rPr>
        <w:t xml:space="preserve">Доходы от использования имущества                                            101,4 % </w:t>
      </w:r>
    </w:p>
    <w:p>
      <w:pPr>
        <w:pStyle w:val="Normal"/>
        <w:numPr>
          <w:ilvl w:val="0"/>
          <w:numId w:val="1"/>
        </w:numPr>
        <w:tabs>
          <w:tab w:val="clear" w:pos="720"/>
          <w:tab w:val="left" w:pos="502" w:leader="none"/>
          <w:tab w:val="left" w:pos="644" w:leader="none"/>
          <w:tab w:val="left" w:pos="7513" w:leader="none"/>
          <w:tab w:val="left" w:pos="7655" w:leader="none"/>
          <w:tab w:val="left" w:pos="7797" w:leader="none"/>
        </w:tabs>
        <w:ind w:hanging="360" w:left="502" w:right="176"/>
        <w:rPr>
          <w:sz w:val="25"/>
          <w:szCs w:val="25"/>
        </w:rPr>
      </w:pPr>
      <w:r>
        <w:rPr>
          <w:sz w:val="25"/>
          <w:szCs w:val="25"/>
        </w:rPr>
        <w:t>Плата за негативное воздействие на окр. среду                             100,0 %</w:t>
      </w:r>
    </w:p>
    <w:p>
      <w:pPr>
        <w:pStyle w:val="Normal"/>
        <w:numPr>
          <w:ilvl w:val="0"/>
          <w:numId w:val="1"/>
        </w:numPr>
        <w:tabs>
          <w:tab w:val="clear" w:pos="720"/>
          <w:tab w:val="left" w:pos="502" w:leader="none"/>
          <w:tab w:val="left" w:pos="644" w:leader="none"/>
        </w:tabs>
        <w:ind w:hanging="360" w:left="502" w:right="176"/>
        <w:rPr>
          <w:sz w:val="25"/>
          <w:szCs w:val="25"/>
        </w:rPr>
      </w:pPr>
      <w:r>
        <w:rPr>
          <w:sz w:val="25"/>
          <w:szCs w:val="25"/>
        </w:rPr>
        <w:t>Доходы от оказания платных услуг                                                 105,8 %</w:t>
      </w:r>
    </w:p>
    <w:p>
      <w:pPr>
        <w:pStyle w:val="Normal"/>
        <w:numPr>
          <w:ilvl w:val="0"/>
          <w:numId w:val="1"/>
        </w:numPr>
        <w:tabs>
          <w:tab w:val="clear" w:pos="720"/>
          <w:tab w:val="left" w:pos="502" w:leader="none"/>
          <w:tab w:val="left" w:pos="644" w:leader="none"/>
        </w:tabs>
        <w:ind w:hanging="360" w:left="502" w:right="176"/>
        <w:rPr>
          <w:sz w:val="25"/>
          <w:szCs w:val="25"/>
        </w:rPr>
      </w:pPr>
      <w:r>
        <w:rPr>
          <w:sz w:val="25"/>
          <w:szCs w:val="25"/>
        </w:rPr>
        <w:t>Доходы от компенсации затрат и возмещения расходов               56,3 %</w:t>
      </w:r>
    </w:p>
    <w:p>
      <w:pPr>
        <w:pStyle w:val="Normal"/>
        <w:numPr>
          <w:ilvl w:val="0"/>
          <w:numId w:val="1"/>
        </w:numPr>
        <w:tabs>
          <w:tab w:val="clear" w:pos="720"/>
          <w:tab w:val="left" w:pos="502" w:leader="none"/>
          <w:tab w:val="left" w:pos="644" w:leader="none"/>
        </w:tabs>
        <w:ind w:hanging="360" w:left="502" w:right="176"/>
        <w:rPr>
          <w:sz w:val="25"/>
          <w:szCs w:val="25"/>
        </w:rPr>
      </w:pPr>
      <w:r>
        <w:rPr>
          <w:sz w:val="25"/>
          <w:szCs w:val="25"/>
        </w:rPr>
        <w:t>Доходы от продажи материальных и нематериальных активов   142,3 %</w:t>
      </w:r>
    </w:p>
    <w:p>
      <w:pPr>
        <w:pStyle w:val="Normal"/>
        <w:numPr>
          <w:ilvl w:val="0"/>
          <w:numId w:val="1"/>
        </w:numPr>
        <w:tabs>
          <w:tab w:val="clear" w:pos="720"/>
          <w:tab w:val="left" w:pos="502" w:leader="none"/>
          <w:tab w:val="left" w:pos="644" w:leader="none"/>
          <w:tab w:val="left" w:pos="6096" w:leader="none"/>
          <w:tab w:val="left" w:pos="6237" w:leader="none"/>
          <w:tab w:val="left" w:pos="7371" w:leader="none"/>
          <w:tab w:val="left" w:pos="7655" w:leader="none"/>
        </w:tabs>
        <w:ind w:hanging="360" w:left="502" w:right="176"/>
        <w:rPr>
          <w:sz w:val="25"/>
          <w:szCs w:val="25"/>
        </w:rPr>
      </w:pPr>
      <w:r>
        <w:rPr>
          <w:sz w:val="25"/>
          <w:szCs w:val="25"/>
        </w:rPr>
        <w:t>Штрафы, санкции, возмещение ущерба                                          118,2 %</w:t>
      </w:r>
    </w:p>
    <w:p>
      <w:pPr>
        <w:pStyle w:val="Normal"/>
        <w:ind w:hanging="0" w:right="0"/>
        <w:rPr>
          <w:bCs/>
          <w:sz w:val="25"/>
          <w:szCs w:val="25"/>
        </w:rPr>
      </w:pPr>
      <w:r>
        <w:rPr>
          <w:bCs/>
          <w:sz w:val="25"/>
          <w:szCs w:val="25"/>
        </w:rPr>
        <w:t xml:space="preserve">   </w:t>
      </w:r>
      <w:r>
        <w:rPr>
          <w:bCs/>
          <w:sz w:val="25"/>
          <w:szCs w:val="25"/>
        </w:rPr>
        <w:t>Инициативные платежи                                                                    100,0 %</w:t>
      </w:r>
    </w:p>
    <w:p>
      <w:pPr>
        <w:pStyle w:val="Normal"/>
        <w:tabs>
          <w:tab w:val="clear" w:pos="720"/>
          <w:tab w:val="left" w:pos="709" w:leader="none"/>
          <w:tab w:val="left" w:pos="6237" w:leader="none"/>
          <w:tab w:val="left" w:pos="7371" w:leader="none"/>
          <w:tab w:val="left" w:pos="7655" w:leader="none"/>
        </w:tabs>
        <w:rPr>
          <w:sz w:val="25"/>
          <w:szCs w:val="25"/>
        </w:rPr>
      </w:pPr>
      <w:r>
        <w:rPr>
          <w:sz w:val="25"/>
          <w:szCs w:val="25"/>
        </w:rPr>
        <w:t>Основными доходными источниками бюджета Тулунского муниципального района за 2025 год являются:</w:t>
      </w:r>
    </w:p>
    <w:p>
      <w:pPr>
        <w:pStyle w:val="Normal"/>
        <w:numPr>
          <w:ilvl w:val="0"/>
          <w:numId w:val="2"/>
        </w:numPr>
        <w:tabs>
          <w:tab w:val="clear" w:pos="720"/>
          <w:tab w:val="left" w:pos="142" w:leader="none"/>
          <w:tab w:val="left" w:pos="426" w:leader="none"/>
          <w:tab w:val="left" w:pos="786" w:leader="none"/>
        </w:tabs>
        <w:ind w:hanging="284" w:left="426" w:right="176"/>
        <w:rPr>
          <w:sz w:val="25"/>
          <w:szCs w:val="25"/>
        </w:rPr>
      </w:pPr>
      <w:r>
        <w:rPr>
          <w:sz w:val="25"/>
          <w:szCs w:val="25"/>
        </w:rPr>
        <w:t xml:space="preserve">   </w:t>
      </w:r>
      <w:r>
        <w:rPr>
          <w:sz w:val="25"/>
          <w:szCs w:val="25"/>
        </w:rPr>
        <w:t xml:space="preserve">налог на доходы физических лиц (удельный вес в общем поступлении по собственным доходным источникам составляет 66,4 %); </w:t>
      </w:r>
    </w:p>
    <w:p>
      <w:pPr>
        <w:pStyle w:val="Normal"/>
        <w:numPr>
          <w:ilvl w:val="0"/>
          <w:numId w:val="2"/>
        </w:numPr>
        <w:tabs>
          <w:tab w:val="clear" w:pos="720"/>
          <w:tab w:val="left" w:pos="6096" w:leader="none"/>
        </w:tabs>
        <w:ind w:hanging="425" w:left="567" w:right="176"/>
        <w:rPr/>
      </w:pPr>
      <w:r>
        <w:rPr/>
        <w:t xml:space="preserve">   </w:t>
      </w:r>
      <w:r>
        <w:rPr/>
        <w:t>доходы от уплаты акцизов на нефтепродукты (удельный вес в общем поступлении по собственным доходным источникам составляет 12,8 %).</w:t>
      </w:r>
    </w:p>
    <w:p>
      <w:pPr>
        <w:pStyle w:val="Normal"/>
        <w:tabs>
          <w:tab w:val="clear" w:pos="720"/>
          <w:tab w:val="left" w:pos="709" w:leader="none"/>
          <w:tab w:val="left" w:pos="6096" w:leader="none"/>
        </w:tabs>
        <w:ind w:hanging="0" w:right="176"/>
        <w:rPr>
          <w:sz w:val="25"/>
          <w:szCs w:val="25"/>
        </w:rPr>
      </w:pPr>
      <w:r>
        <w:rPr>
          <w:sz w:val="25"/>
          <w:szCs w:val="25"/>
        </w:rPr>
        <w:t xml:space="preserve">  </w:t>
      </w:r>
      <w:r>
        <w:rPr>
          <w:sz w:val="25"/>
          <w:szCs w:val="25"/>
        </w:rPr>
        <w:t>Другие виды доходных источников занимают незначительный удельный вес в общем объёме поступления налоговых и неналоговых доходов, в том числе:</w:t>
      </w:r>
    </w:p>
    <w:p>
      <w:pPr>
        <w:pStyle w:val="Normal"/>
        <w:numPr>
          <w:ilvl w:val="0"/>
          <w:numId w:val="8"/>
        </w:numPr>
        <w:tabs>
          <w:tab w:val="clear" w:pos="720"/>
          <w:tab w:val="left" w:pos="6096" w:leader="none"/>
        </w:tabs>
        <w:ind w:hanging="360" w:left="720" w:right="176"/>
        <w:rPr/>
      </w:pPr>
      <w:r>
        <w:rPr/>
        <w:t>доходы от использования имущества (удельный вес в общем поступлении по собственным доходным источникам составляет 8,7 %);</w:t>
      </w:r>
    </w:p>
    <w:p>
      <w:pPr>
        <w:pStyle w:val="Normal"/>
        <w:numPr>
          <w:ilvl w:val="0"/>
          <w:numId w:val="8"/>
        </w:numPr>
        <w:tabs>
          <w:tab w:val="clear" w:pos="720"/>
          <w:tab w:val="left" w:pos="6096" w:leader="none"/>
        </w:tabs>
        <w:ind w:hanging="360" w:left="720" w:right="176"/>
        <w:rPr/>
      </w:pPr>
      <w:r>
        <w:rPr/>
        <w:t>доходы от оказания платных услуг (удельный вес в общем поступлении по собственным доходным источникам составляет 3,8 %);</w:t>
      </w:r>
    </w:p>
    <w:p>
      <w:pPr>
        <w:pStyle w:val="Normal"/>
        <w:numPr>
          <w:ilvl w:val="0"/>
          <w:numId w:val="8"/>
        </w:numPr>
        <w:ind w:hanging="360" w:left="720" w:right="176"/>
        <w:rPr/>
      </w:pPr>
      <w:r>
        <w:rPr/>
        <w:t>патентная система налогообложения (удельный вес в общем поступлении по собственным доходным источникам составляет 2,1 %);</w:t>
      </w:r>
    </w:p>
    <w:p>
      <w:pPr>
        <w:pStyle w:val="Normal"/>
        <w:numPr>
          <w:ilvl w:val="0"/>
          <w:numId w:val="8"/>
        </w:numPr>
        <w:tabs>
          <w:tab w:val="clear" w:pos="720"/>
          <w:tab w:val="left" w:pos="0" w:leader="none"/>
        </w:tabs>
        <w:ind w:hanging="360" w:left="720" w:right="176"/>
        <w:rPr/>
      </w:pPr>
      <w:r>
        <w:rPr/>
        <w:t xml:space="preserve">упрощенная система налогообложения (удельный вес в общем поступлении по собственным доходным источникам составляет 1,9 %); </w:t>
      </w:r>
    </w:p>
    <w:p>
      <w:pPr>
        <w:pStyle w:val="Normal"/>
        <w:numPr>
          <w:ilvl w:val="0"/>
          <w:numId w:val="8"/>
        </w:numPr>
        <w:tabs>
          <w:tab w:val="clear" w:pos="720"/>
          <w:tab w:val="left" w:pos="0" w:leader="none"/>
        </w:tabs>
        <w:ind w:hanging="360" w:left="720" w:right="176"/>
        <w:rPr/>
      </w:pPr>
      <w:r>
        <w:rPr/>
        <w:t xml:space="preserve">доходы от продажи материальных и нематериальных активов (удельный вес в общем поступлении по собственным доходным источникам составляет 1,6 %); </w:t>
      </w:r>
    </w:p>
    <w:p>
      <w:pPr>
        <w:pStyle w:val="Normal"/>
        <w:numPr>
          <w:ilvl w:val="0"/>
          <w:numId w:val="8"/>
        </w:numPr>
        <w:ind w:hanging="360" w:left="720" w:right="176"/>
        <w:rPr/>
      </w:pPr>
      <w:r>
        <w:rPr/>
        <w:t>штрафы, санкции, возмещение ущерба (удельный вес в общем поступлении по собственным доходным источникам составляет 1,0 %);</w:t>
      </w:r>
    </w:p>
    <w:p>
      <w:pPr>
        <w:pStyle w:val="Normal"/>
        <w:numPr>
          <w:ilvl w:val="0"/>
          <w:numId w:val="8"/>
        </w:numPr>
        <w:tabs>
          <w:tab w:val="clear" w:pos="720"/>
          <w:tab w:val="left" w:pos="426" w:leader="none"/>
        </w:tabs>
        <w:ind w:hanging="360" w:left="720" w:right="176"/>
        <w:rPr/>
      </w:pPr>
      <w:r>
        <w:rPr/>
        <w:t>плата за негативное воздействие на окружающую среду (удельный вес в общем поступлении по собственным доходным источникам составляет 0,7 %);</w:t>
      </w:r>
    </w:p>
    <w:p>
      <w:pPr>
        <w:pStyle w:val="Normal"/>
        <w:numPr>
          <w:ilvl w:val="0"/>
          <w:numId w:val="8"/>
        </w:numPr>
        <w:tabs>
          <w:tab w:val="clear" w:pos="720"/>
          <w:tab w:val="left" w:pos="0" w:leader="none"/>
        </w:tabs>
        <w:ind w:hanging="360" w:left="720" w:right="176"/>
        <w:rPr/>
      </w:pPr>
      <w:r>
        <w:rPr/>
        <w:t>единый сельскохозяйственный налог (удельный вес в общем поступлении по собственным доходным источникам составляет 0,6 %);</w:t>
      </w:r>
    </w:p>
    <w:p>
      <w:pPr>
        <w:pStyle w:val="Normal"/>
        <w:numPr>
          <w:ilvl w:val="0"/>
          <w:numId w:val="8"/>
        </w:numPr>
        <w:tabs>
          <w:tab w:val="clear" w:pos="720"/>
          <w:tab w:val="left" w:pos="0" w:leader="none"/>
        </w:tabs>
        <w:ind w:hanging="360" w:left="720" w:right="176"/>
        <w:rPr/>
      </w:pPr>
      <w:r>
        <w:rPr/>
        <w:t>инициативные платежи (удельный вес в общем поступлении по собственным доходным источникам составляет 0,2 %);</w:t>
      </w:r>
    </w:p>
    <w:p>
      <w:pPr>
        <w:pStyle w:val="Normal"/>
        <w:numPr>
          <w:ilvl w:val="0"/>
          <w:numId w:val="8"/>
        </w:numPr>
        <w:tabs>
          <w:tab w:val="clear" w:pos="720"/>
          <w:tab w:val="left" w:pos="6096" w:leader="none"/>
        </w:tabs>
        <w:ind w:hanging="360" w:left="720" w:right="176"/>
        <w:rPr/>
      </w:pPr>
      <w:r>
        <w:rPr/>
        <w:t>доходы от компенсации затрат и возмещения расходов (удельный вес в общем поступлении по собственным доходным источникам составляет 0,1 %);</w:t>
      </w:r>
    </w:p>
    <w:p>
      <w:pPr>
        <w:pStyle w:val="Normal"/>
        <w:numPr>
          <w:ilvl w:val="0"/>
          <w:numId w:val="8"/>
        </w:numPr>
        <w:tabs>
          <w:tab w:val="clear" w:pos="720"/>
          <w:tab w:val="left" w:pos="0" w:leader="none"/>
        </w:tabs>
        <w:ind w:hanging="0" w:left="0" w:right="176"/>
        <w:rPr/>
      </w:pPr>
      <w:r>
        <w:rPr/>
        <w:t>государственная пошлина (удельный вес в общем поступлении по собственным доходным источникам составляет 0,1 %).</w:t>
      </w:r>
      <w:r>
        <w:rPr>
          <w:bCs/>
          <w:sz w:val="25"/>
          <w:szCs w:val="25"/>
        </w:rPr>
        <w:t xml:space="preserve">                                                             </w:t>
      </w:r>
    </w:p>
    <w:p>
      <w:pPr>
        <w:pStyle w:val="Normal"/>
        <w:tabs>
          <w:tab w:val="clear" w:pos="720"/>
          <w:tab w:val="left" w:pos="6096" w:leader="none"/>
        </w:tabs>
        <w:ind w:hanging="0" w:right="176"/>
        <w:rPr/>
      </w:pPr>
      <w:r>
        <w:rPr>
          <w:sz w:val="25"/>
          <w:szCs w:val="25"/>
        </w:rPr>
        <w:t xml:space="preserve">      </w:t>
      </w:r>
      <w:r>
        <w:rPr>
          <w:sz w:val="25"/>
          <w:szCs w:val="25"/>
        </w:rPr>
        <w:t xml:space="preserve">Основную долю в общем объеме доходов в отчетном году составляют безвозмездные поступления, которые составили </w:t>
      </w:r>
      <w:r>
        <w:rPr/>
        <w:t>1 908 406,37</w:t>
      </w:r>
      <w:r>
        <w:rPr>
          <w:sz w:val="25"/>
          <w:szCs w:val="25"/>
        </w:rPr>
        <w:t xml:space="preserve"> тыс. руб. или 85,1%  к общему поступлению доходов бюджета района.</w:t>
      </w:r>
    </w:p>
    <w:p>
      <w:pPr>
        <w:pStyle w:val="Normal"/>
        <w:ind w:firstLine="567" w:right="27"/>
        <w:rPr>
          <w:sz w:val="25"/>
          <w:szCs w:val="25"/>
        </w:rPr>
      </w:pPr>
      <w:r>
        <w:rPr>
          <w:sz w:val="25"/>
          <w:szCs w:val="25"/>
        </w:rPr>
        <w:t xml:space="preserve"> </w:t>
      </w:r>
      <w:r>
        <w:rPr>
          <w:sz w:val="25"/>
          <w:szCs w:val="25"/>
        </w:rPr>
        <w:t>По структуре  безвозмездные поступления распределились следующим образом:</w:t>
      </w:r>
    </w:p>
    <w:p>
      <w:pPr>
        <w:pStyle w:val="Normal"/>
        <w:ind w:firstLine="567" w:right="27"/>
        <w:rPr>
          <w:sz w:val="25"/>
          <w:szCs w:val="25"/>
        </w:rPr>
      </w:pPr>
      <w:r>
        <w:rPr>
          <w:sz w:val="25"/>
          <w:szCs w:val="25"/>
        </w:rPr>
      </w:r>
    </w:p>
    <w:tbl>
      <w:tblPr>
        <w:tblW w:w="9572" w:type="dxa"/>
        <w:jc w:val="left"/>
        <w:tblInd w:w="-115" w:type="dxa"/>
        <w:tblLayout w:type="fixed"/>
        <w:tblCellMar>
          <w:top w:w="0" w:type="dxa"/>
          <w:left w:w="5" w:type="dxa"/>
          <w:bottom w:w="0" w:type="dxa"/>
          <w:right w:w="103" w:type="dxa"/>
        </w:tblCellMar>
        <w:tblLook w:firstRow="1" w:noVBand="1" w:lastRow="0" w:firstColumn="1" w:lastColumn="0" w:noHBand="0" w:val="04a0"/>
      </w:tblPr>
      <w:tblGrid>
        <w:gridCol w:w="4987"/>
        <w:gridCol w:w="2256"/>
        <w:gridCol w:w="2329"/>
      </w:tblGrid>
      <w:tr>
        <w:trPr/>
        <w:tc>
          <w:tcPr>
            <w:tcW w:w="4987"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rPr>
                <w:sz w:val="20"/>
                <w:szCs w:val="20"/>
              </w:rPr>
            </w:pPr>
            <w:r>
              <w:rPr>
                <w:sz w:val="20"/>
                <w:szCs w:val="20"/>
              </w:rPr>
            </w:r>
          </w:p>
          <w:p>
            <w:pPr>
              <w:pStyle w:val="Normal"/>
              <w:widowControl w:val="false"/>
              <w:ind w:firstLine="567" w:right="27"/>
              <w:rPr>
                <w:sz w:val="20"/>
                <w:szCs w:val="20"/>
              </w:rPr>
            </w:pPr>
            <w:r>
              <w:rPr>
                <w:sz w:val="20"/>
                <w:szCs w:val="20"/>
              </w:rPr>
              <w:t>Наименование</w:t>
            </w:r>
          </w:p>
        </w:tc>
        <w:tc>
          <w:tcPr>
            <w:tcW w:w="2256"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rPr>
                <w:sz w:val="20"/>
                <w:szCs w:val="20"/>
              </w:rPr>
            </w:pPr>
            <w:r>
              <w:rPr>
                <w:sz w:val="20"/>
                <w:szCs w:val="20"/>
              </w:rPr>
            </w:r>
          </w:p>
          <w:p>
            <w:pPr>
              <w:pStyle w:val="Normal"/>
              <w:widowControl w:val="false"/>
              <w:ind w:firstLine="567" w:right="27"/>
              <w:rPr>
                <w:sz w:val="20"/>
                <w:szCs w:val="20"/>
              </w:rPr>
            </w:pPr>
            <w:r>
              <w:rPr>
                <w:sz w:val="20"/>
                <w:szCs w:val="20"/>
              </w:rPr>
              <w:t>Факт 2025г</w:t>
            </w:r>
          </w:p>
          <w:p>
            <w:pPr>
              <w:pStyle w:val="Normal"/>
              <w:widowControl w:val="false"/>
              <w:ind w:firstLine="567" w:right="27"/>
              <w:rPr>
                <w:sz w:val="20"/>
                <w:szCs w:val="20"/>
              </w:rPr>
            </w:pPr>
            <w:r>
              <w:rPr>
                <w:sz w:val="20"/>
                <w:szCs w:val="20"/>
              </w:rPr>
              <w:t>(тыс. руб.)</w:t>
            </w:r>
          </w:p>
        </w:tc>
        <w:tc>
          <w:tcPr>
            <w:tcW w:w="2329"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27"/>
              <w:jc w:val="center"/>
              <w:rPr>
                <w:sz w:val="20"/>
                <w:szCs w:val="20"/>
              </w:rPr>
            </w:pPr>
            <w:r>
              <w:rPr>
                <w:sz w:val="20"/>
                <w:szCs w:val="20"/>
              </w:rPr>
              <w:t>%</w:t>
            </w:r>
          </w:p>
          <w:p>
            <w:pPr>
              <w:pStyle w:val="Normal"/>
              <w:widowControl w:val="false"/>
              <w:ind w:hanging="0" w:right="27"/>
              <w:jc w:val="center"/>
              <w:rPr>
                <w:sz w:val="20"/>
                <w:szCs w:val="20"/>
              </w:rPr>
            </w:pPr>
            <w:r>
              <w:rPr>
                <w:sz w:val="20"/>
                <w:szCs w:val="20"/>
              </w:rPr>
              <w:t>в общей сумме безвозмездных поступлений</w:t>
            </w:r>
          </w:p>
        </w:tc>
      </w:tr>
      <w:tr>
        <w:trPr/>
        <w:tc>
          <w:tcPr>
            <w:tcW w:w="4987"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rPr>
                <w:b/>
                <w:bCs/>
                <w:sz w:val="20"/>
                <w:szCs w:val="20"/>
              </w:rPr>
            </w:pPr>
            <w:r>
              <w:rPr>
                <w:b/>
                <w:bCs/>
                <w:sz w:val="20"/>
                <w:szCs w:val="20"/>
              </w:rPr>
              <w:t>Всего безвозмездных поступлений,</w:t>
            </w:r>
          </w:p>
          <w:p>
            <w:pPr>
              <w:pStyle w:val="Normal"/>
              <w:widowControl w:val="false"/>
              <w:ind w:firstLine="567" w:right="27"/>
              <w:rPr>
                <w:b/>
                <w:bCs/>
                <w:sz w:val="20"/>
                <w:szCs w:val="20"/>
              </w:rPr>
            </w:pPr>
            <w:r>
              <w:rPr>
                <w:b/>
                <w:bCs/>
                <w:sz w:val="20"/>
                <w:szCs w:val="20"/>
              </w:rPr>
              <w:t>в том числе:</w:t>
            </w:r>
          </w:p>
        </w:tc>
        <w:tc>
          <w:tcPr>
            <w:tcW w:w="2256"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20"/>
                <w:tab w:val="left" w:pos="6096" w:leader="none"/>
              </w:tabs>
              <w:ind w:hanging="0" w:right="176"/>
              <w:jc w:val="center"/>
              <w:rPr>
                <w:b/>
                <w:bCs/>
                <w:sz w:val="20"/>
                <w:szCs w:val="20"/>
              </w:rPr>
            </w:pPr>
            <w:r>
              <w:rPr>
                <w:b/>
                <w:bCs/>
                <w:sz w:val="20"/>
                <w:szCs w:val="20"/>
              </w:rPr>
            </w:r>
          </w:p>
          <w:p>
            <w:pPr>
              <w:pStyle w:val="Normal"/>
              <w:widowControl w:val="false"/>
              <w:tabs>
                <w:tab w:val="clear" w:pos="720"/>
                <w:tab w:val="left" w:pos="6096" w:leader="none"/>
              </w:tabs>
              <w:ind w:hanging="0" w:right="176"/>
              <w:jc w:val="center"/>
              <w:rPr>
                <w:b/>
                <w:bCs/>
              </w:rPr>
            </w:pPr>
            <w:r>
              <w:rPr>
                <w:b/>
                <w:bCs/>
                <w:sz w:val="20"/>
                <w:szCs w:val="20"/>
              </w:rPr>
              <w:t xml:space="preserve">    </w:t>
            </w:r>
            <w:r>
              <w:rPr>
                <w:b/>
                <w:bCs/>
                <w:sz w:val="18"/>
                <w:szCs w:val="18"/>
              </w:rPr>
              <w:t>1 908 406,37</w:t>
            </w:r>
          </w:p>
        </w:tc>
        <w:tc>
          <w:tcPr>
            <w:tcW w:w="2329"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jc w:val="center"/>
              <w:rPr>
                <w:b/>
                <w:bCs/>
                <w:sz w:val="20"/>
                <w:szCs w:val="20"/>
              </w:rPr>
            </w:pPr>
            <w:r>
              <w:rPr>
                <w:b/>
                <w:bCs/>
                <w:sz w:val="20"/>
                <w:szCs w:val="20"/>
              </w:rPr>
            </w:r>
          </w:p>
          <w:p>
            <w:pPr>
              <w:pStyle w:val="Normal"/>
              <w:widowControl w:val="false"/>
              <w:ind w:firstLine="567" w:right="27"/>
              <w:jc w:val="center"/>
              <w:rPr>
                <w:b/>
                <w:bCs/>
                <w:sz w:val="20"/>
                <w:szCs w:val="20"/>
              </w:rPr>
            </w:pPr>
            <w:r>
              <w:rPr>
                <w:b/>
                <w:bCs/>
                <w:sz w:val="20"/>
                <w:szCs w:val="20"/>
              </w:rPr>
              <w:t>100,0</w:t>
            </w:r>
          </w:p>
        </w:tc>
      </w:tr>
      <w:tr>
        <w:trPr/>
        <w:tc>
          <w:tcPr>
            <w:tcW w:w="4987"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rPr>
                <w:sz w:val="20"/>
                <w:szCs w:val="20"/>
              </w:rPr>
            </w:pPr>
            <w:r>
              <w:rPr>
                <w:sz w:val="20"/>
                <w:szCs w:val="20"/>
              </w:rPr>
              <w:t>-Дотации</w:t>
            </w:r>
          </w:p>
        </w:tc>
        <w:tc>
          <w:tcPr>
            <w:tcW w:w="2256" w:type="dxa"/>
            <w:tcBorders>
              <w:top w:val="single" w:sz="4" w:space="0" w:color="00000A"/>
              <w:left w:val="single" w:sz="4" w:space="0" w:color="00000A"/>
              <w:bottom w:val="single" w:sz="4" w:space="0" w:color="00000A"/>
              <w:right w:val="single" w:sz="4" w:space="0" w:color="00000A"/>
            </w:tcBorders>
          </w:tcPr>
          <w:p>
            <w:pPr>
              <w:pStyle w:val="Normal"/>
              <w:widowControl w:val="false"/>
              <w:snapToGrid w:val="false"/>
              <w:ind w:hanging="0" w:right="0"/>
              <w:jc w:val="center"/>
              <w:rPr>
                <w:sz w:val="18"/>
                <w:szCs w:val="18"/>
              </w:rPr>
            </w:pPr>
            <w:r>
              <w:rPr>
                <w:sz w:val="18"/>
                <w:szCs w:val="18"/>
              </w:rPr>
              <w:t>269 902,20</w:t>
            </w:r>
          </w:p>
        </w:tc>
        <w:tc>
          <w:tcPr>
            <w:tcW w:w="2329"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jc w:val="center"/>
              <w:rPr>
                <w:sz w:val="20"/>
                <w:szCs w:val="20"/>
              </w:rPr>
            </w:pPr>
            <w:r>
              <w:rPr>
                <w:sz w:val="20"/>
                <w:szCs w:val="20"/>
              </w:rPr>
              <w:t>14,1</w:t>
            </w:r>
          </w:p>
        </w:tc>
      </w:tr>
      <w:tr>
        <w:trPr/>
        <w:tc>
          <w:tcPr>
            <w:tcW w:w="4987"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rPr>
                <w:sz w:val="20"/>
                <w:szCs w:val="20"/>
              </w:rPr>
            </w:pPr>
            <w:r>
              <w:rPr>
                <w:sz w:val="20"/>
                <w:szCs w:val="20"/>
              </w:rPr>
              <w:t>-Субсидии</w:t>
            </w:r>
          </w:p>
        </w:tc>
        <w:tc>
          <w:tcPr>
            <w:tcW w:w="2256"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center"/>
              <w:rPr>
                <w:sz w:val="18"/>
                <w:szCs w:val="18"/>
              </w:rPr>
            </w:pPr>
            <w:r>
              <w:rPr>
                <w:sz w:val="18"/>
                <w:szCs w:val="18"/>
              </w:rPr>
              <w:t>91 405,70</w:t>
            </w:r>
          </w:p>
        </w:tc>
        <w:tc>
          <w:tcPr>
            <w:tcW w:w="2329"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jc w:val="center"/>
              <w:rPr>
                <w:sz w:val="20"/>
                <w:szCs w:val="20"/>
              </w:rPr>
            </w:pPr>
            <w:r>
              <w:rPr>
                <w:sz w:val="20"/>
                <w:szCs w:val="20"/>
              </w:rPr>
              <w:t>4,8</w:t>
            </w:r>
          </w:p>
        </w:tc>
      </w:tr>
      <w:tr>
        <w:trPr>
          <w:trHeight w:val="212" w:hRule="atLeast"/>
        </w:trPr>
        <w:tc>
          <w:tcPr>
            <w:tcW w:w="4987"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rPr>
                <w:sz w:val="20"/>
                <w:szCs w:val="20"/>
              </w:rPr>
            </w:pPr>
            <w:r>
              <w:rPr>
                <w:sz w:val="20"/>
                <w:szCs w:val="20"/>
              </w:rPr>
              <w:t>-Субвенции</w:t>
            </w:r>
          </w:p>
        </w:tc>
        <w:tc>
          <w:tcPr>
            <w:tcW w:w="2256"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center"/>
              <w:rPr>
                <w:sz w:val="18"/>
                <w:szCs w:val="18"/>
              </w:rPr>
            </w:pPr>
            <w:r>
              <w:rPr>
                <w:sz w:val="18"/>
                <w:szCs w:val="18"/>
              </w:rPr>
              <w:t>1 369 495,45</w:t>
            </w:r>
          </w:p>
        </w:tc>
        <w:tc>
          <w:tcPr>
            <w:tcW w:w="2329"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jc w:val="center"/>
              <w:rPr>
                <w:sz w:val="20"/>
                <w:szCs w:val="20"/>
              </w:rPr>
            </w:pPr>
            <w:r>
              <w:rPr>
                <w:sz w:val="20"/>
                <w:szCs w:val="20"/>
              </w:rPr>
              <w:t>71,8</w:t>
            </w:r>
          </w:p>
        </w:tc>
      </w:tr>
      <w:tr>
        <w:trPr/>
        <w:tc>
          <w:tcPr>
            <w:tcW w:w="4987"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rPr>
                <w:sz w:val="20"/>
                <w:szCs w:val="20"/>
              </w:rPr>
            </w:pPr>
            <w:r>
              <w:rPr>
                <w:sz w:val="20"/>
                <w:szCs w:val="20"/>
              </w:rPr>
              <w:t>-Иные МБТ</w:t>
            </w:r>
          </w:p>
        </w:tc>
        <w:tc>
          <w:tcPr>
            <w:tcW w:w="2256"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center"/>
              <w:rPr>
                <w:sz w:val="18"/>
                <w:szCs w:val="18"/>
                <w:lang w:val="en-US"/>
              </w:rPr>
            </w:pPr>
            <w:r>
              <w:rPr>
                <w:sz w:val="18"/>
                <w:szCs w:val="18"/>
                <w:lang w:val="en-US"/>
              </w:rPr>
              <w:t>177 539,18</w:t>
            </w:r>
          </w:p>
        </w:tc>
        <w:tc>
          <w:tcPr>
            <w:tcW w:w="2329"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jc w:val="center"/>
              <w:rPr>
                <w:sz w:val="20"/>
                <w:szCs w:val="20"/>
              </w:rPr>
            </w:pPr>
            <w:r>
              <w:rPr>
                <w:sz w:val="20"/>
                <w:szCs w:val="20"/>
              </w:rPr>
              <w:t>9,3</w:t>
            </w:r>
          </w:p>
        </w:tc>
      </w:tr>
      <w:tr>
        <w:trPr/>
        <w:tc>
          <w:tcPr>
            <w:tcW w:w="4987"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rPr>
                <w:sz w:val="20"/>
                <w:szCs w:val="20"/>
              </w:rPr>
            </w:pPr>
            <w:r>
              <w:rPr>
                <w:sz w:val="20"/>
                <w:szCs w:val="20"/>
              </w:rPr>
              <w:t>-Прочие безвозмездные поступления</w:t>
            </w:r>
          </w:p>
        </w:tc>
        <w:tc>
          <w:tcPr>
            <w:tcW w:w="2256" w:type="dxa"/>
            <w:tcBorders>
              <w:top w:val="single" w:sz="4" w:space="0" w:color="00000A"/>
              <w:left w:val="single" w:sz="4" w:space="0" w:color="00000A"/>
              <w:bottom w:val="single" w:sz="4" w:space="0" w:color="00000A"/>
              <w:right w:val="single" w:sz="4" w:space="0" w:color="00000A"/>
            </w:tcBorders>
          </w:tcPr>
          <w:p>
            <w:pPr>
              <w:pStyle w:val="Normal"/>
              <w:widowControl w:val="false"/>
              <w:ind w:hanging="0" w:right="176"/>
              <w:jc w:val="center"/>
              <w:rPr>
                <w:sz w:val="18"/>
                <w:szCs w:val="18"/>
              </w:rPr>
            </w:pPr>
            <w:r>
              <w:rPr>
                <w:sz w:val="18"/>
                <w:szCs w:val="18"/>
              </w:rPr>
              <w:t>88,37</w:t>
            </w:r>
          </w:p>
        </w:tc>
        <w:tc>
          <w:tcPr>
            <w:tcW w:w="2329"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jc w:val="center"/>
              <w:rPr>
                <w:sz w:val="20"/>
                <w:szCs w:val="20"/>
              </w:rPr>
            </w:pPr>
            <w:r>
              <w:rPr>
                <w:sz w:val="20"/>
                <w:szCs w:val="20"/>
              </w:rPr>
              <w:t>-</w:t>
            </w:r>
          </w:p>
        </w:tc>
      </w:tr>
      <w:tr>
        <w:trPr/>
        <w:tc>
          <w:tcPr>
            <w:tcW w:w="4987"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rPr>
                <w:sz w:val="20"/>
                <w:szCs w:val="20"/>
              </w:rPr>
            </w:pPr>
            <w:r>
              <w:rPr>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256"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jc w:val="center"/>
              <w:rPr>
                <w:sz w:val="20"/>
                <w:szCs w:val="20"/>
              </w:rPr>
            </w:pPr>
            <w:r>
              <w:rPr>
                <w:sz w:val="20"/>
                <w:szCs w:val="20"/>
              </w:rPr>
            </w:r>
          </w:p>
          <w:p>
            <w:pPr>
              <w:pStyle w:val="Normal"/>
              <w:widowControl w:val="false"/>
              <w:ind w:hanging="0" w:right="176"/>
              <w:jc w:val="center"/>
              <w:rPr>
                <w:sz w:val="18"/>
                <w:szCs w:val="18"/>
              </w:rPr>
            </w:pPr>
            <w:r>
              <w:rPr>
                <w:sz w:val="18"/>
                <w:szCs w:val="18"/>
              </w:rPr>
              <w:t>-24,53</w:t>
            </w:r>
          </w:p>
        </w:tc>
        <w:tc>
          <w:tcPr>
            <w:tcW w:w="2329" w:type="dxa"/>
            <w:tcBorders>
              <w:top w:val="single" w:sz="4" w:space="0" w:color="00000A"/>
              <w:left w:val="single" w:sz="4" w:space="0" w:color="00000A"/>
              <w:bottom w:val="single" w:sz="4" w:space="0" w:color="00000A"/>
              <w:right w:val="single" w:sz="4" w:space="0" w:color="00000A"/>
            </w:tcBorders>
          </w:tcPr>
          <w:p>
            <w:pPr>
              <w:pStyle w:val="Normal"/>
              <w:widowControl w:val="false"/>
              <w:ind w:firstLine="567" w:right="27"/>
              <w:jc w:val="center"/>
              <w:rPr>
                <w:sz w:val="20"/>
                <w:szCs w:val="20"/>
              </w:rPr>
            </w:pPr>
            <w:r>
              <w:rPr>
                <w:sz w:val="20"/>
                <w:szCs w:val="20"/>
              </w:rPr>
            </w:r>
          </w:p>
          <w:p>
            <w:pPr>
              <w:pStyle w:val="Normal"/>
              <w:widowControl w:val="false"/>
              <w:ind w:firstLine="567" w:right="27"/>
              <w:jc w:val="center"/>
              <w:rPr>
                <w:sz w:val="20"/>
                <w:szCs w:val="20"/>
              </w:rPr>
            </w:pPr>
            <w:r>
              <w:rPr>
                <w:sz w:val="20"/>
                <w:szCs w:val="20"/>
              </w:rPr>
              <w:t>-</w:t>
            </w:r>
          </w:p>
        </w:tc>
      </w:tr>
    </w:tbl>
    <w:p>
      <w:pPr>
        <w:pStyle w:val="Normal"/>
        <w:ind w:firstLine="567" w:right="27"/>
        <w:rPr>
          <w:b/>
          <w:sz w:val="25"/>
          <w:szCs w:val="25"/>
          <w:u w:val="single"/>
        </w:rPr>
      </w:pPr>
      <w:r>
        <w:rPr>
          <w:b/>
          <w:sz w:val="25"/>
          <w:szCs w:val="25"/>
          <w:u w:val="single"/>
        </w:rPr>
      </w:r>
    </w:p>
    <w:p>
      <w:pPr>
        <w:pStyle w:val="Normal"/>
        <w:tabs>
          <w:tab w:val="clear" w:pos="720"/>
          <w:tab w:val="left" w:pos="709" w:leader="none"/>
          <w:tab w:val="left" w:pos="1080" w:leader="none"/>
        </w:tabs>
        <w:ind w:hanging="0" w:right="0"/>
        <w:rPr/>
      </w:pPr>
      <w:r>
        <w:rPr>
          <w:sz w:val="25"/>
          <w:szCs w:val="25"/>
        </w:rPr>
        <w:t xml:space="preserve">      </w:t>
      </w:r>
      <w:r>
        <w:rPr>
          <w:sz w:val="25"/>
          <w:szCs w:val="25"/>
        </w:rPr>
        <w:t>Согласно отчета об исполнении бюджета Тулунского муниципального района за 2025 год, н</w:t>
      </w:r>
      <w:r>
        <w:rPr>
          <w:bCs/>
          <w:sz w:val="25"/>
          <w:szCs w:val="25"/>
        </w:rPr>
        <w:t>е выполнены плановые назначения по безвозмездным поступлениям от других бюджетов бюджетной системы Российской Федерации на</w:t>
      </w:r>
      <w:r>
        <w:rPr>
          <w:sz w:val="25"/>
          <w:szCs w:val="25"/>
        </w:rPr>
        <w:t xml:space="preserve"> 15 099,4</w:t>
      </w:r>
      <w:r>
        <w:rPr>
          <w:bCs/>
          <w:sz w:val="25"/>
          <w:szCs w:val="25"/>
        </w:rPr>
        <w:t xml:space="preserve"> тыс. руб.</w:t>
      </w:r>
    </w:p>
    <w:p>
      <w:pPr>
        <w:pStyle w:val="Normal"/>
        <w:tabs>
          <w:tab w:val="clear" w:pos="720"/>
          <w:tab w:val="left" w:pos="709" w:leader="none"/>
          <w:tab w:val="left" w:pos="1080" w:leader="none"/>
        </w:tabs>
        <w:ind w:hanging="0" w:right="0"/>
        <w:rPr>
          <w:color w:val="000000"/>
          <w:sz w:val="25"/>
          <w:szCs w:val="25"/>
        </w:rPr>
      </w:pPr>
      <w:r>
        <w:rPr>
          <w:color w:val="000000"/>
          <w:sz w:val="25"/>
          <w:szCs w:val="25"/>
        </w:rPr>
        <w:t xml:space="preserve">    </w:t>
      </w:r>
      <w:r>
        <w:rPr>
          <w:color w:val="000000"/>
          <w:sz w:val="25"/>
          <w:szCs w:val="25"/>
        </w:rPr>
        <w:t>План не выполнен :</w:t>
      </w:r>
    </w:p>
    <w:p>
      <w:pPr>
        <w:pStyle w:val="Normal"/>
        <w:tabs>
          <w:tab w:val="clear" w:pos="720"/>
          <w:tab w:val="left" w:pos="709" w:leader="none"/>
          <w:tab w:val="left" w:pos="1080" w:leader="none"/>
        </w:tabs>
        <w:ind w:hanging="0" w:right="0"/>
        <w:rPr/>
      </w:pPr>
      <w:r>
        <w:rPr>
          <w:color w:val="000000"/>
          <w:sz w:val="25"/>
          <w:szCs w:val="25"/>
        </w:rPr>
        <w:t>- ввиду отсутствия необходимости в финансовых средствах в сумме 447,4</w:t>
      </w:r>
      <w:r>
        <w:rPr>
          <w:b/>
          <w:color w:val="000000"/>
          <w:sz w:val="25"/>
          <w:szCs w:val="25"/>
        </w:rPr>
        <w:t xml:space="preserve"> </w:t>
      </w:r>
      <w:r>
        <w:rPr>
          <w:bCs/>
          <w:color w:val="000000"/>
          <w:sz w:val="25"/>
          <w:szCs w:val="25"/>
        </w:rPr>
        <w:t>тыс. руб.</w:t>
      </w:r>
      <w:r>
        <w:rPr>
          <w:color w:val="000000"/>
          <w:sz w:val="25"/>
          <w:szCs w:val="25"/>
        </w:rPr>
        <w:t>, в том числе: субсидии в сумме 99,6 тыс. руб. (основное: организация питания учащихся); и</w:t>
      </w:r>
      <w:r>
        <w:rPr>
          <w:rFonts w:eastAsia="Arial"/>
          <w:color w:val="000000"/>
          <w:sz w:val="25"/>
          <w:szCs w:val="25"/>
        </w:rPr>
        <w:t xml:space="preserve">ные межбюджетные трансферты в сумме 347,8 тыс. руб. (основное: </w:t>
      </w:r>
      <w:r>
        <w:rPr>
          <w:rFonts w:eastAsia="Arial"/>
          <w:color w:val="000000"/>
        </w:rPr>
        <w:t xml:space="preserve"> на обеспечение выплат ежемесячного денежного вознаграждения за классное руководство педагогическим работникам)</w:t>
      </w:r>
      <w:r>
        <w:rPr>
          <w:rFonts w:eastAsia="Arial" w:cs="Arial"/>
          <w:color w:val="000000"/>
        </w:rPr>
        <w:t>;</w:t>
      </w:r>
    </w:p>
    <w:p>
      <w:pPr>
        <w:pStyle w:val="Normal"/>
        <w:tabs>
          <w:tab w:val="clear" w:pos="720"/>
          <w:tab w:val="left" w:pos="709" w:leader="none"/>
          <w:tab w:val="left" w:pos="1080" w:leader="none"/>
        </w:tabs>
        <w:ind w:hanging="0" w:right="0"/>
        <w:rPr/>
      </w:pPr>
      <w:r>
        <w:rPr>
          <w:rFonts w:eastAsia="Arial" w:cs="Arial"/>
          <w:color w:val="000000"/>
          <w:sz w:val="25"/>
          <w:szCs w:val="25"/>
        </w:rPr>
        <w:t>- в</w:t>
      </w:r>
      <w:r>
        <w:rPr>
          <w:rFonts w:eastAsia="Arial"/>
          <w:color w:val="000000"/>
          <w:sz w:val="25"/>
          <w:szCs w:val="25"/>
        </w:rPr>
        <w:t xml:space="preserve"> связи с экономией средств по результатам проведения конкурсных процедур в сумме 561,7 тыс.руб., в том числе: субсидии в сумме 299,3 тыс. руб. (основное: </w:t>
      </w:r>
      <w:r>
        <w:rPr>
          <w:rFonts w:eastAsia="Arial"/>
          <w:color w:val="000000"/>
          <w:sz w:val="16"/>
          <w:szCs w:val="16"/>
        </w:rPr>
        <w:t xml:space="preserve"> </w:t>
      </w:r>
      <w:r>
        <w:rPr>
          <w:rFonts w:eastAsia="Arial"/>
          <w:color w:val="000000"/>
        </w:rPr>
        <w:t>на реализацию мероприятий по модернизации школьных систем образования (Шерагульская СОШ),</w:t>
      </w:r>
      <w:r>
        <w:rPr>
          <w:rFonts w:eastAsia="Arial"/>
          <w:color w:val="000000"/>
          <w:sz w:val="25"/>
          <w:szCs w:val="25"/>
        </w:rPr>
        <w:t xml:space="preserve">   субвенции в сумме 262,2 тыс. руб. (организация мероприятий при осуществлении деятельности по обращению с собаками и кошками);  иные межбюджетные трансферты в сумме 0,2 тыс. руб. (основное: </w:t>
      </w:r>
      <w:r>
        <w:rPr>
          <w:rFonts w:eastAsia="Arial"/>
          <w:color w:val="000000"/>
        </w:rPr>
        <w:t xml:space="preserve"> на оснащение предметных кабинетов общеобразовательных организаций  средствами обучения и воспитания)</w:t>
      </w:r>
      <w:r>
        <w:rPr>
          <w:rFonts w:eastAsia="Arial" w:cs="Arial"/>
          <w:color w:val="000000"/>
        </w:rPr>
        <w:t>;</w:t>
      </w:r>
    </w:p>
    <w:p>
      <w:pPr>
        <w:pStyle w:val="Normal"/>
        <w:tabs>
          <w:tab w:val="clear" w:pos="720"/>
          <w:tab w:val="left" w:pos="709" w:leader="none"/>
          <w:tab w:val="left" w:pos="1080" w:leader="none"/>
        </w:tabs>
        <w:ind w:hanging="0" w:right="0"/>
        <w:rPr/>
      </w:pPr>
      <w:r>
        <w:rPr>
          <w:rFonts w:eastAsia="Arial"/>
          <w:color w:val="000000"/>
          <w:sz w:val="25"/>
          <w:szCs w:val="25"/>
        </w:rPr>
        <w:t xml:space="preserve">- в связи с отсутствием средств на едином счете областного бюджета в сумме  11 750,0 тыс.руб. , в том числе:  субсидии в сумме 11 750,0 тыс. руб. (основное: </w:t>
      </w:r>
      <w:r>
        <w:rPr>
          <w:rFonts w:eastAsia="Arial"/>
          <w:color w:val="000000"/>
          <w:sz w:val="16"/>
          <w:szCs w:val="16"/>
        </w:rPr>
        <w:t xml:space="preserve"> </w:t>
      </w:r>
      <w:r>
        <w:rPr>
          <w:rFonts w:eastAsia="Arial"/>
          <w:color w:val="000000"/>
        </w:rPr>
        <w:t>на приобретение средств обучения и воспитания, необходимых для оснащения учебных кабинетов муниципальных общеобразовательных организаций; создание условий для обеспечения услугами связи малонаселенных населенных пунктов;</w:t>
      </w:r>
      <w:r>
        <w:rPr>
          <w:rFonts w:eastAsia="Arial"/>
          <w:color w:val="000000"/>
          <w:sz w:val="25"/>
          <w:szCs w:val="25"/>
        </w:rPr>
        <w:t xml:space="preserve"> на организация мероприятий при осуществлении деятельности по обращению с собаками и кошками);</w:t>
      </w:r>
    </w:p>
    <w:p>
      <w:pPr>
        <w:pStyle w:val="Normal"/>
        <w:tabs>
          <w:tab w:val="clear" w:pos="720"/>
          <w:tab w:val="left" w:pos="709" w:leader="none"/>
          <w:tab w:val="left" w:pos="1080" w:leader="none"/>
        </w:tabs>
        <w:ind w:hanging="0" w:right="0"/>
        <w:rPr/>
      </w:pPr>
      <w:r>
        <w:rPr>
          <w:rFonts w:eastAsia="Arial"/>
          <w:color w:val="000000"/>
          <w:sz w:val="25"/>
          <w:szCs w:val="25"/>
        </w:rPr>
        <w:t>-  в связи с приостановлением операций по расходованию средств на лицевом счете Писаревского сельского поселения, вызванных неисполнением требований исполнительного документа от 04.09.2025г., не перечислены   иные межбюджетные трансферты, передаваемые бюджету муниципального района из бюджета Писаревского сельского  поселений на осуществление части полномочий по решению вопросов местного значения в соответствии с заключёнными соглашениями в сумме 2 317 ,6 тыс. рублей.</w:t>
      </w:r>
    </w:p>
    <w:p>
      <w:pPr>
        <w:pStyle w:val="Normal"/>
        <w:tabs>
          <w:tab w:val="clear" w:pos="720"/>
          <w:tab w:val="left" w:pos="709" w:leader="none"/>
          <w:tab w:val="left" w:pos="1080" w:leader="none"/>
        </w:tabs>
        <w:ind w:hanging="0" w:right="0"/>
        <w:rPr>
          <w:sz w:val="25"/>
          <w:szCs w:val="25"/>
        </w:rPr>
      </w:pPr>
      <w:r>
        <w:rPr>
          <w:rFonts w:eastAsia="Arial"/>
          <w:color w:val="000000"/>
          <w:sz w:val="25"/>
          <w:szCs w:val="25"/>
        </w:rPr>
        <w:t>Перевыполнен план по разделу « Прочие безвозмездные поступления» на сумму 7,5 тыс. руб. в связи п</w:t>
      </w:r>
      <w:r>
        <w:rPr>
          <w:color w:val="000000"/>
          <w:sz w:val="25"/>
          <w:szCs w:val="25"/>
        </w:rPr>
        <w:t>оступлением от денежных пожертвований, предоставляемых физическими лицами получателям средств бюджетов муниципальных районов (ДШИ с. Шерагул ) после уточнения плана по доходам.</w:t>
      </w:r>
    </w:p>
    <w:p>
      <w:pPr>
        <w:pStyle w:val="Normal"/>
        <w:tabs>
          <w:tab w:val="clear" w:pos="720"/>
          <w:tab w:val="left" w:pos="709" w:leader="none"/>
          <w:tab w:val="left" w:pos="1080" w:leader="none"/>
        </w:tabs>
        <w:ind w:hanging="0" w:right="0"/>
        <w:rPr>
          <w:color w:val="000000"/>
        </w:rPr>
      </w:pPr>
      <w:r>
        <w:rPr>
          <w:color w:val="000000"/>
        </w:rPr>
        <w:t xml:space="preserve">   </w:t>
      </w:r>
      <w:r>
        <w:rPr>
          <w:color w:val="000000"/>
        </w:rPr>
        <w:t xml:space="preserve">В 2025 году возвращены в областной бюджет остатки субсидий, субвенций и иных межбюджетных трансфертов, имеющих целевое назначение, прошлых лет в сумме </w:t>
      </w:r>
      <w:r>
        <w:rPr>
          <w:color w:val="34343C"/>
          <w:sz w:val="23"/>
        </w:rPr>
        <w:t>«минус»</w:t>
      </w:r>
      <w:r>
        <w:rPr>
          <w:color w:val="000000"/>
        </w:rPr>
        <w:t xml:space="preserve"> </w:t>
      </w:r>
    </w:p>
    <w:p>
      <w:pPr>
        <w:pStyle w:val="Normal"/>
        <w:tabs>
          <w:tab w:val="clear" w:pos="720"/>
          <w:tab w:val="left" w:pos="709" w:leader="none"/>
          <w:tab w:val="left" w:pos="1080" w:leader="none"/>
        </w:tabs>
        <w:ind w:hanging="0" w:right="0"/>
        <w:rPr/>
      </w:pPr>
      <w:r>
        <w:rPr>
          <w:color w:val="000000"/>
        </w:rPr>
        <w:t xml:space="preserve"> </w:t>
      </w:r>
      <w:r>
        <w:rPr>
          <w:color w:val="000000"/>
        </w:rPr>
        <w:t xml:space="preserve">24, 5тыс. руб. </w:t>
      </w:r>
      <w:r>
        <w:rPr>
          <w:rFonts w:eastAsia="Arial"/>
          <w:color w:val="000000"/>
          <w:sz w:val="28"/>
          <w:szCs w:val="28"/>
        </w:rPr>
        <w:t xml:space="preserve"> на получение бесплатного начального, основного, среднего общего образования .</w:t>
      </w:r>
    </w:p>
    <w:p>
      <w:pPr>
        <w:pStyle w:val="Normal"/>
        <w:tabs>
          <w:tab w:val="clear" w:pos="720"/>
          <w:tab w:val="left" w:pos="709" w:leader="none"/>
          <w:tab w:val="left" w:pos="1620" w:leader="none"/>
        </w:tabs>
        <w:rPr>
          <w:color w:val="302709"/>
          <w:sz w:val="25"/>
          <w:szCs w:val="25"/>
        </w:rPr>
      </w:pPr>
      <w:r>
        <w:rPr>
          <w:color w:val="302709"/>
          <w:sz w:val="25"/>
          <w:szCs w:val="25"/>
        </w:rPr>
        <w:t xml:space="preserve">В соответствии со ст. 264.4 Бюджетного кодекса РФ Контрольно-счетной палатой муниципального образования «Тулунский район» проведены внешние проверки бюджетной отчетности главных администраторов бюджетных средств за 2025 год, по результатам которых установлены отдельные нарушения. </w:t>
      </w:r>
    </w:p>
    <w:p>
      <w:pPr>
        <w:pStyle w:val="Normal"/>
        <w:tabs>
          <w:tab w:val="clear" w:pos="720"/>
          <w:tab w:val="left" w:pos="709" w:leader="none"/>
        </w:tabs>
        <w:rPr/>
      </w:pPr>
      <w:r>
        <w:rPr>
          <w:sz w:val="25"/>
          <w:szCs w:val="25"/>
        </w:rPr>
        <w:t xml:space="preserve">В нарушение ст.160.1 Бюджетного кодекса РФ, п.11 Приказа Комитета по финансам администрации Тулунского муниципального района от 16.12.2014г. </w:t>
      </w:r>
      <w:r>
        <w:rPr>
          <w:spacing w:val="20"/>
          <w:sz w:val="25"/>
          <w:szCs w:val="25"/>
        </w:rPr>
        <w:t>№791 (о. д.) «</w:t>
      </w:r>
      <w:r>
        <w:rPr>
          <w:sz w:val="25"/>
          <w:szCs w:val="25"/>
        </w:rPr>
        <w:t xml:space="preserve">О порядке составления и ведения кассового плана исполнения бюджета Тулунского муниципального района и бюджетов сельских поселений» (в ред. приказа Комитета по финансам администрации Тулунского муниципального района </w:t>
      </w:r>
      <w:r>
        <w:rPr>
          <w:rFonts w:eastAsia="Calibri"/>
          <w:sz w:val="25"/>
          <w:szCs w:val="25"/>
          <w:lang w:eastAsia="en-US"/>
        </w:rPr>
        <w:t>от 30.12.2020г. №154 (о.д.)), доходы за период с 01.12.2025г. по 24.12.2025г. в размере 389,9 тыс. руб. Администрацией Тулунского муниципального района при уточнении бюджета Тулунского муниципального района по состоянию на 25.12.2025г. не уточнены.</w:t>
      </w:r>
    </w:p>
    <w:p>
      <w:pPr>
        <w:pStyle w:val="Normal"/>
        <w:tabs>
          <w:tab w:val="left" w:pos="720" w:leader="none"/>
        </w:tabs>
        <w:spacing w:lineRule="atLeast" w:line="240" w:before="0" w:after="1"/>
        <w:ind w:hanging="0" w:right="0"/>
        <w:rPr/>
      </w:pPr>
      <w:r>
        <w:rPr>
          <w:rFonts w:eastAsia="Calibri"/>
          <w:color w:val="F10D0C"/>
          <w:sz w:val="25"/>
          <w:szCs w:val="25"/>
          <w:shd w:fill="FFFFFF" w:val="clear"/>
          <w:lang w:eastAsia="en-US"/>
        </w:rPr>
        <w:t xml:space="preserve">  </w:t>
      </w:r>
      <w:r>
        <w:rPr>
          <w:rStyle w:val="FontStyle29"/>
          <w:rFonts w:eastAsia="Calibri"/>
          <w:color w:val="302709"/>
          <w:sz w:val="25"/>
          <w:szCs w:val="25"/>
          <w:lang w:eastAsia="en-US"/>
        </w:rPr>
        <w:t>Комитетом по образованию администрации</w:t>
      </w:r>
      <w:r>
        <w:rPr>
          <w:rStyle w:val="FontStyle29"/>
          <w:rFonts w:eastAsia="Calibri"/>
          <w:color w:val="302709"/>
          <w:spacing w:val="11"/>
          <w:sz w:val="25"/>
          <w:szCs w:val="25"/>
          <w:lang w:eastAsia="en-US"/>
        </w:rPr>
        <w:t xml:space="preserve"> </w:t>
      </w:r>
      <w:r>
        <w:rPr>
          <w:rStyle w:val="FontStyle29"/>
          <w:rFonts w:eastAsia="Calibri"/>
          <w:color w:val="302709"/>
          <w:sz w:val="25"/>
          <w:szCs w:val="25"/>
          <w:lang w:eastAsia="en-US"/>
        </w:rPr>
        <w:t>Тулунского муниципального района при уточнении бюджета Тулунского муниципального района по состоянию на 25.12.2025г не</w:t>
      </w:r>
      <w:r>
        <w:rPr>
          <w:rFonts w:eastAsia="Calibri"/>
          <w:color w:val="302709"/>
          <w:sz w:val="25"/>
          <w:szCs w:val="25"/>
          <w:lang w:eastAsia="en-US"/>
        </w:rPr>
        <w:t xml:space="preserve"> уточнены  прочие доходы от оказания платных услуг (работ) получателями средств бюджетов муниципальных районов (родительская плата) в сумме 591,1 тыс. руб. </w:t>
      </w:r>
    </w:p>
    <w:p>
      <w:pPr>
        <w:pStyle w:val="Normal"/>
        <w:tabs>
          <w:tab w:val="left" w:pos="720" w:leader="none"/>
        </w:tabs>
        <w:spacing w:lineRule="atLeast" w:line="240" w:before="0" w:after="1"/>
        <w:ind w:hanging="0" w:right="0"/>
        <w:rPr/>
      </w:pPr>
      <w:r>
        <w:rPr>
          <w:rFonts w:eastAsia="Calibri"/>
          <w:color w:val="302709"/>
          <w:sz w:val="25"/>
          <w:szCs w:val="25"/>
          <w:lang w:eastAsia="en-US"/>
        </w:rPr>
        <w:t xml:space="preserve">  </w:t>
      </w:r>
      <w:r>
        <w:rPr>
          <w:rStyle w:val="FontStyle29"/>
          <w:rFonts w:eastAsia="Calibri"/>
          <w:color w:val="302709"/>
          <w:sz w:val="25"/>
          <w:szCs w:val="25"/>
          <w:lang w:eastAsia="en-US"/>
        </w:rPr>
        <w:t xml:space="preserve">Комитетом по </w:t>
      </w:r>
      <w:r>
        <w:rPr>
          <w:rFonts w:eastAsia="Calibri"/>
          <w:color w:val="302709"/>
          <w:sz w:val="25"/>
          <w:szCs w:val="25"/>
          <w:lang w:eastAsia="en-US"/>
        </w:rPr>
        <w:t xml:space="preserve">культуре, молодежной политике и спорту администрации Тулунского муниципального района при уточнении бюджета Тулунского муниципального района по состоянию на 25.12.2025г </w:t>
      </w:r>
      <w:r>
        <w:rPr>
          <w:rStyle w:val="FontStyle29"/>
          <w:rFonts w:eastAsia="Calibri"/>
          <w:color w:val="302709"/>
          <w:sz w:val="25"/>
          <w:szCs w:val="25"/>
          <w:lang w:eastAsia="en-US"/>
        </w:rPr>
        <w:t>не</w:t>
      </w:r>
      <w:r>
        <w:rPr>
          <w:rFonts w:eastAsia="Calibri"/>
          <w:color w:val="302709"/>
          <w:sz w:val="25"/>
          <w:szCs w:val="25"/>
          <w:lang w:eastAsia="en-US"/>
        </w:rPr>
        <w:t xml:space="preserve"> уточнены доходы по КВД 2.07.05020.05.0000.150 «Поступления от денежных пожертвований, предоставляемых физическими лицами получателям средств бюджетов муниципальных районов» за период с 01.12.2025г. по 19.12.2025г в сумме 6, 5 тыс. руб.; по КВД 1.13.01995.05.0003.130 «Прочие доходы от оказания платных услуг (работ) получателями средств бюджетов муниципальных районов (прочие поступления)» в сумме 15, 2 тыс. руб. </w:t>
      </w:r>
    </w:p>
    <w:p>
      <w:pPr>
        <w:pStyle w:val="Normal"/>
        <w:tabs>
          <w:tab w:val="clear" w:pos="720"/>
          <w:tab w:val="left" w:pos="1080" w:leader="none"/>
        </w:tabs>
        <w:ind w:hanging="0" w:right="176"/>
        <w:rPr/>
      </w:pPr>
      <w:r>
        <w:rPr>
          <w:color w:val="34343C"/>
          <w:sz w:val="25"/>
          <w:szCs w:val="25"/>
        </w:rPr>
        <w:t xml:space="preserve">   </w:t>
      </w:r>
      <w:r>
        <w:rPr>
          <w:color w:val="302709"/>
          <w:sz w:val="25"/>
          <w:szCs w:val="25"/>
        </w:rPr>
        <w:t xml:space="preserve">Учитывая необходимость соблюдения принципа достоверности бюджета (реалистичности расчета доходов бюджета), установленного статьей 37 БК РФ, КСП предлагает </w:t>
      </w:r>
      <w:r>
        <w:rPr>
          <w:rStyle w:val="Style18"/>
          <w:b w:val="false"/>
          <w:color w:val="302709"/>
          <w:szCs w:val="25"/>
        </w:rPr>
        <w:t>главным администраторам доходов бюджета</w:t>
      </w:r>
      <w:r>
        <w:rPr>
          <w:color w:val="302709"/>
          <w:sz w:val="25"/>
          <w:szCs w:val="25"/>
        </w:rPr>
        <w:t xml:space="preserve"> проанализировать факты сложившихся отклонений при исполнении прогнозных показателей по доходным источникам и причины на них повлиявшие, с целью принятия мер по повышению достоверности прогнозирования доходов, в том числе корректировки методик прогнозирования отдельных поступлений, а также обращает внимание на необходимость повышения качества анализа поступления доходов в течение финансового года и их своевременного уточнения.</w:t>
      </w:r>
    </w:p>
    <w:p>
      <w:pPr>
        <w:pStyle w:val="Normal"/>
        <w:tabs>
          <w:tab w:val="left" w:pos="720" w:leader="none"/>
        </w:tabs>
        <w:rPr/>
      </w:pPr>
      <w:r>
        <w:rPr>
          <w:color w:val="302709"/>
          <w:sz w:val="25"/>
          <w:szCs w:val="25"/>
          <w:shd w:fill="FFFFFF" w:val="clear"/>
        </w:rPr>
        <w:t>В нарушение статей 34, 160.1 Бюджетног</w:t>
      </w:r>
      <w:r>
        <w:rPr>
          <w:sz w:val="25"/>
          <w:szCs w:val="25"/>
          <w:shd w:fill="FFFFFF" w:val="clear"/>
        </w:rPr>
        <w:t>о кодекса РФ, общеобразовательными учреждениями, подведомственных Комитету по образованию администрации Тулунского муниципального района;</w:t>
      </w:r>
      <w:r>
        <w:rPr>
          <w:color w:val="000000"/>
          <w:sz w:val="25"/>
          <w:szCs w:val="25"/>
          <w:shd w:fill="FFFFFF" w:val="clear"/>
        </w:rPr>
        <w:t xml:space="preserve"> </w:t>
      </w:r>
      <w:r>
        <w:rPr>
          <w:sz w:val="25"/>
          <w:szCs w:val="25"/>
          <w:shd w:fill="FFFFFF" w:val="clear"/>
        </w:rPr>
        <w:t xml:space="preserve">Комитетом по управлению муниципальным имуществом администрации Тулунского муниципального района; Комитетом по экономике и развитию предпринимательства администрации Тулунского муниципального района; Администрацией  Тулунского муниципального района; </w:t>
      </w:r>
      <w:r>
        <w:rPr>
          <w:color w:val="000000"/>
          <w:sz w:val="25"/>
          <w:szCs w:val="25"/>
          <w:shd w:fill="FFFFFF" w:val="clear"/>
          <w:lang w:eastAsia="en-US"/>
        </w:rPr>
        <w:t>п</w:t>
      </w:r>
      <w:r>
        <w:rPr>
          <w:rFonts w:eastAsia="Calibri"/>
          <w:color w:val="000000"/>
          <w:sz w:val="25"/>
          <w:szCs w:val="25"/>
          <w:shd w:fill="FFFFFF" w:val="clear"/>
          <w:lang w:eastAsia="en-US"/>
        </w:rPr>
        <w:t>о учреждениям, подведомственных Комитету по культуре, молодёжной политике и спорту администрации Тулунского муниципального района</w:t>
      </w:r>
      <w:r>
        <w:rPr>
          <w:sz w:val="25"/>
          <w:szCs w:val="25"/>
          <w:shd w:fill="FFFFFF" w:val="clear"/>
        </w:rPr>
        <w:t>,  как администраторами доходов бюджета, не надлежащим образом осуществляются бюджетные полномочия в части начисления, учета и контроля за правильностью исчисления, полнотой и своевременностью осуществления платежей в бюджет, пеней и штрафов по ним, допущены факты неэффективного использования бюджетных средств.</w:t>
      </w:r>
    </w:p>
    <w:p>
      <w:pPr>
        <w:pStyle w:val="Normal"/>
        <w:tabs>
          <w:tab w:val="clear" w:pos="720"/>
          <w:tab w:val="left" w:pos="709" w:leader="none"/>
          <w:tab w:val="left" w:pos="1620" w:leader="none"/>
        </w:tabs>
        <w:ind w:firstLine="708" w:right="0"/>
        <w:rPr/>
      </w:pPr>
      <w:r>
        <w:rPr>
          <w:color w:val="000000"/>
          <w:sz w:val="25"/>
          <w:szCs w:val="25"/>
        </w:rPr>
        <w:t xml:space="preserve">Так, при выборочной проверке своевременности поступления доходов в Комитете по управлению муниципальным имуществом администрации Тулунского муниципального района установлено, что в результате недостаточного контроля Комитетом за поступлением доходов, поступающих в виде арендной платы за использование земельных участков, по состоянию на 01.01.2026г. </w:t>
      </w:r>
      <w:r>
        <w:rPr>
          <w:sz w:val="25"/>
          <w:szCs w:val="25"/>
        </w:rPr>
        <w:t xml:space="preserve">дебиторская задолженность сложилась в сумме </w:t>
      </w:r>
      <w:r>
        <w:rPr>
          <w:sz w:val="25"/>
          <w:szCs w:val="25"/>
          <w:shd w:fill="FFFFFF" w:val="clear"/>
        </w:rPr>
        <w:t xml:space="preserve">3 790, 5 тыс. руб. </w:t>
      </w:r>
      <w:r>
        <w:rPr>
          <w:sz w:val="25"/>
          <w:szCs w:val="25"/>
        </w:rPr>
        <w:t xml:space="preserve"> Из общей суммы дебиторской задолженности — </w:t>
      </w:r>
      <w:r>
        <w:rPr>
          <w:sz w:val="25"/>
          <w:szCs w:val="25"/>
          <w:shd w:fill="FFFFFF" w:val="clear"/>
        </w:rPr>
        <w:t>3 624,4 тыс. руб.</w:t>
      </w:r>
      <w:r>
        <w:rPr>
          <w:sz w:val="25"/>
          <w:szCs w:val="25"/>
        </w:rPr>
        <w:t xml:space="preserve"> является просроченной задолженностью, в т.ч.</w:t>
      </w:r>
      <w:r>
        <w:rPr>
          <w:sz w:val="25"/>
          <w:szCs w:val="25"/>
          <w:shd w:fill="FFFFFF" w:val="clear"/>
        </w:rPr>
        <w:t xml:space="preserve"> по платежам при пользовании природными ресурсами (арендная плата за земельные участки в сумме </w:t>
      </w:r>
      <w:r>
        <w:rPr>
          <w:shd w:fill="FFFFFF" w:val="clear"/>
        </w:rPr>
        <w:t xml:space="preserve">2 702,0 тыс. руб.  (2016 год — 5, 9 тыс. руб. , 2017 год — 3,6 тыс. руб. , 2018 год — 195, 7 тыс. руб., 2019 год — 211,6 тыс. руб. , 2020 год — 248,4 тыс. руб. , 2021 год — 289,8 тыс. руб., 2022 год —       307,6 тыс. руб. , 2023 год — 584,8 тыс. руб. , 2024 год — 294,1 тыс. руб. , 2025 год — 560,5 тыс. руб. ); по доходам от выбытия активов (продажа земельных участков) в сумме 1,2 тыс. руб. ; </w:t>
      </w:r>
      <w:r>
        <w:rPr/>
        <w:t xml:space="preserve"> по прочим доходам за невыполнение условий по договорным обязательствам (пени) в сумме 921,2 тыс. руб. </w:t>
      </w:r>
    </w:p>
    <w:p>
      <w:pPr>
        <w:pStyle w:val="Normal"/>
        <w:tabs>
          <w:tab w:val="clear" w:pos="720"/>
          <w:tab w:val="left" w:pos="709" w:leader="none"/>
          <w:tab w:val="left" w:pos="1620" w:leader="none"/>
        </w:tabs>
        <w:ind w:firstLine="708" w:right="0"/>
        <w:rPr/>
      </w:pPr>
      <w:r>
        <w:rPr>
          <w:color w:val="000000"/>
          <w:sz w:val="25"/>
          <w:szCs w:val="25"/>
          <w:lang w:eastAsia="en-US"/>
        </w:rPr>
        <w:t>Просроченная дебиторская задолженность образовалась за счет неисполнения обязательств по договорам аренды земельных участков Арендаторами,</w:t>
      </w:r>
      <w:r>
        <w:rPr>
          <w:color w:val="000000"/>
          <w:sz w:val="25"/>
          <w:szCs w:val="25"/>
          <w:shd w:fill="FFFFFF" w:val="clear"/>
          <w:lang w:eastAsia="en-US"/>
        </w:rPr>
        <w:t xml:space="preserve"> по прочим доходам за невыполнение условий по договорным обязательствам (пени).</w:t>
      </w:r>
      <w:r>
        <w:rPr>
          <w:sz w:val="25"/>
          <w:szCs w:val="25"/>
        </w:rPr>
        <w:t xml:space="preserve"> </w:t>
      </w:r>
    </w:p>
    <w:p>
      <w:pPr>
        <w:pStyle w:val="Normal"/>
        <w:tabs>
          <w:tab w:val="clear" w:pos="720"/>
          <w:tab w:val="left" w:pos="709" w:leader="none"/>
          <w:tab w:val="left" w:pos="1620" w:leader="none"/>
        </w:tabs>
        <w:ind w:firstLine="708" w:right="0"/>
        <w:rPr/>
      </w:pPr>
      <w:r>
        <w:rPr>
          <w:color w:val="302709"/>
          <w:sz w:val="25"/>
          <w:szCs w:val="25"/>
          <w:shd w:fill="FFFFFF" w:val="clear"/>
        </w:rPr>
        <w:t>По Администрации Тулунского муниципального района дебиторская задолженность на 01.01.2026 года составляет 14,9 тыс. руб.,  в т. ч.: по расчетам по доходам в сумме 2,9 тыс.руб., по расчетам по выданным авансам в сумме 12,0 тыс. руб. Из сложившейся дебиторской задолженности — 2,9 тыс. руб. является просроченной задолженностью, а именно :  предоплата за услуги связи в январе 2017 года АО «ЭР-Телеком Холдинг».</w:t>
      </w:r>
    </w:p>
    <w:p>
      <w:pPr>
        <w:pStyle w:val="Normal"/>
        <w:tabs>
          <w:tab w:val="clear" w:pos="720"/>
          <w:tab w:val="left" w:pos="709" w:leader="none"/>
          <w:tab w:val="left" w:pos="1620" w:leader="none"/>
        </w:tabs>
        <w:ind w:firstLine="708" w:right="0"/>
        <w:rPr/>
      </w:pPr>
      <w:r>
        <w:rPr>
          <w:sz w:val="25"/>
          <w:szCs w:val="25"/>
          <w:shd w:fill="FFFFFF" w:val="clear"/>
        </w:rPr>
        <w:t>По Комитету по экономике и развитию предпринимательства администрации Тулунского муниципального района дебиторская задолженность на 01.01.2026 года составляет 190,3 тыс. руб. Из сложившейся дебиторской задолженности —</w:t>
      </w:r>
      <w:r>
        <w:rPr>
          <w:sz w:val="25"/>
          <w:szCs w:val="25"/>
        </w:rPr>
        <w:t xml:space="preserve"> 116,2 тыс. руб. является просроченной задолженностью, а именно: </w:t>
      </w:r>
      <w:r>
        <w:rPr>
          <w:sz w:val="25"/>
          <w:szCs w:val="25"/>
          <w:shd w:fill="FFFFFF" w:val="clear"/>
        </w:rPr>
        <w:t xml:space="preserve">по арендной плате за нежилые помещения в сумме 82,1тыс.руб. (АО «ЭР-Телеком Холдинг»), в т.ч. в сумме 3,0 тыс. руб.  (2018г.), в сумме 79,1 тыс. руб.  (с августа по декабрь 2025г.); по расчетам за возмещение коммунальных услуг в сумме 29,5 тыс. руб.  (АО «ЭР-Телеком Холдинг»  в сумме 19,7 тыс.руб. (декабрь 2017г., апрель 2024г., июль-декабрь 2025г.), ОГБУЗ «Тулунская районная больница» в сумме 8,7 тыс. руб. (ноябрь 2015г.), ПАО «Ростелеком» в общей сумме 1,1 тыс. руб.  (ноябрь 2021г.); расчеты по доходам от штрафных санкций за нарушение законодательства о закупках в сумме 4, 6 тыс. руб.  (АО «ЭР-Телеком Холдинг»). </w:t>
        <w:tab/>
        <w:tab/>
      </w:r>
    </w:p>
    <w:p>
      <w:pPr>
        <w:pStyle w:val="Normal"/>
        <w:tabs>
          <w:tab w:val="clear" w:pos="720"/>
          <w:tab w:val="left" w:pos="709" w:leader="none"/>
          <w:tab w:val="left" w:pos="1620" w:leader="none"/>
        </w:tabs>
        <w:ind w:firstLine="283" w:right="0"/>
        <w:rPr/>
      </w:pPr>
      <w:r>
        <w:rPr>
          <w:sz w:val="25"/>
          <w:szCs w:val="25"/>
          <w:shd w:fill="FFFFFF" w:val="clear"/>
        </w:rPr>
        <w:t xml:space="preserve">Комитетом по экономике и развитию предпринимательства администрации Тулунского муниципального района </w:t>
      </w:r>
      <w:bookmarkStart w:id="3" w:name="__DdeLink__13322_1867622883"/>
      <w:r>
        <w:rPr>
          <w:sz w:val="25"/>
          <w:szCs w:val="25"/>
          <w:shd w:fill="FFFFFF" w:val="clear"/>
        </w:rPr>
        <w:t>меры по ликвидации просроченной задолженности не приняты.</w:t>
      </w:r>
      <w:bookmarkEnd w:id="3"/>
    </w:p>
    <w:p>
      <w:pPr>
        <w:pStyle w:val="Normal"/>
        <w:spacing w:lineRule="atLeast" w:line="100"/>
        <w:ind w:firstLine="227" w:right="0"/>
        <w:rPr/>
      </w:pPr>
      <w:r>
        <w:rPr>
          <w:color w:val="000000"/>
          <w:sz w:val="25"/>
          <w:szCs w:val="25"/>
        </w:rPr>
        <w:t>По учреждениям, подведомственных Комитету по образованию администрации Тулунского муниципального района, дебиторская задолженность на 01.01.2026 года сложилась в сумме 480,3 тыс. руб., из них просроченная д</w:t>
      </w:r>
      <w:r>
        <w:rPr>
          <w:sz w:val="25"/>
          <w:szCs w:val="25"/>
        </w:rPr>
        <w:t>ебиторская задолженность по расчетам по доходам составляет в сумме 149,8 тыс. руб. за 2025 год,</w:t>
      </w:r>
      <w:r>
        <w:rPr>
          <w:rStyle w:val="FontStyle29"/>
          <w:rFonts w:eastAsia="Calibri"/>
          <w:sz w:val="25"/>
          <w:szCs w:val="25"/>
          <w:lang w:eastAsia="en-US"/>
        </w:rPr>
        <w:t xml:space="preserve">  </w:t>
      </w:r>
      <w:r>
        <w:rPr>
          <w:sz w:val="25"/>
          <w:szCs w:val="25"/>
        </w:rPr>
        <w:t>образовалась в результате неуплаты родительской платы за присмотр и уход за детьми, осваивающими образовательные программы дошкольного образования в дошкольных учреждениях. Общеобразовательными учреждениями, подведомственных Комитету по образованию администрации Тулунского муниципального района, как администраторами доходов бюджета, не надлежащим образом осуществляются бюджетные полномочия в части начисления, учета и контроля за правильностью исчисления, полнотой и своевременностью осуществления платежей в бюджет.</w:t>
      </w:r>
    </w:p>
    <w:p>
      <w:pPr>
        <w:pStyle w:val="Normal"/>
        <w:spacing w:lineRule="atLeast" w:line="100"/>
        <w:ind w:hanging="0" w:right="0"/>
        <w:rPr>
          <w:color w:val="000000"/>
          <w:sz w:val="25"/>
          <w:szCs w:val="25"/>
          <w:shd w:fill="FFFFFF" w:val="clear"/>
          <w:lang w:eastAsia="en-US"/>
        </w:rPr>
      </w:pPr>
      <w:r>
        <w:rPr>
          <w:sz w:val="25"/>
          <w:szCs w:val="25"/>
        </w:rPr>
        <w:t xml:space="preserve"> </w:t>
      </w:r>
      <w:r>
        <w:rPr>
          <w:sz w:val="25"/>
          <w:szCs w:val="25"/>
        </w:rPr>
        <w:t xml:space="preserve">По МКУ «Спортивная школа» Тулунского  муниципального района </w:t>
      </w:r>
      <w:r>
        <w:rPr>
          <w:color w:val="000000"/>
          <w:sz w:val="25"/>
          <w:szCs w:val="25"/>
        </w:rPr>
        <w:t xml:space="preserve">дебиторская задолженность на 01.01.2026 года сложилась в сумме </w:t>
      </w:r>
      <w:r>
        <w:rPr>
          <w:sz w:val="25"/>
          <w:szCs w:val="25"/>
        </w:rPr>
        <w:t xml:space="preserve"> 552,4 тыс. руб.,  из них просроченная дебиторская задолженность  в сумме 510,7 тыс. руб., образовалась в результате перечисления аванса в счет оплаты за отпуск тепловой энергии МУСХП «Центральное». МКУ «Спортивная школа» Тулунского  муниципального района м</w:t>
      </w:r>
      <w:r>
        <w:rPr>
          <w:color w:val="000000"/>
          <w:sz w:val="25"/>
          <w:szCs w:val="25"/>
          <w:lang w:eastAsia="en-US"/>
        </w:rPr>
        <w:t xml:space="preserve">еры по ликвидации просроченной задолженности не приняты. </w:t>
      </w:r>
    </w:p>
    <w:p>
      <w:pPr>
        <w:pStyle w:val="Normal"/>
        <w:spacing w:lineRule="atLeast" w:line="100"/>
        <w:ind w:hanging="0" w:right="0"/>
        <w:rPr/>
      </w:pPr>
      <w:r>
        <w:rPr>
          <w:sz w:val="25"/>
          <w:szCs w:val="25"/>
          <w:shd w:fill="FFFFFF" w:val="clear"/>
        </w:rPr>
        <w:t xml:space="preserve"> </w:t>
      </w:r>
      <w:r>
        <w:rPr>
          <w:color w:val="302709"/>
          <w:sz w:val="25"/>
          <w:szCs w:val="25"/>
          <w:shd w:fill="FFFFFF" w:val="clear"/>
        </w:rPr>
        <w:t xml:space="preserve">  </w:t>
      </w:r>
      <w:r>
        <w:rPr>
          <w:color w:val="302709"/>
          <w:sz w:val="25"/>
          <w:szCs w:val="25"/>
          <w:shd w:fill="FFFFFF" w:val="clear"/>
        </w:rPr>
        <w:t>По МКУК «МДК Прометей» дебиторская задолженность на 01.01.2026 года сложилась в сумме 11,0 тыс. руб., том числе просроченная дебиторская задолженность  в сумме 11,0 тыс.руб., по выданным авансам по  оплате за ГСМ (ООО «РН-Карт»).</w:t>
      </w:r>
      <w:r>
        <w:rPr>
          <w:sz w:val="25"/>
          <w:szCs w:val="25"/>
          <w:shd w:fill="FFFFFF" w:val="clear"/>
        </w:rPr>
        <w:t xml:space="preserve"> </w:t>
      </w:r>
    </w:p>
    <w:p>
      <w:pPr>
        <w:pStyle w:val="Normal"/>
        <w:tabs>
          <w:tab w:val="left" w:pos="720" w:leader="none"/>
        </w:tabs>
        <w:ind w:firstLine="170" w:right="170"/>
        <w:rPr/>
      </w:pPr>
      <w:r>
        <w:rPr>
          <w:rFonts w:eastAsia="Calibri"/>
          <w:sz w:val="25"/>
          <w:szCs w:val="25"/>
          <w:shd w:fill="FFFFFF" w:val="clear"/>
          <w:lang w:eastAsia="en-US"/>
        </w:rPr>
        <w:t xml:space="preserve">В нарушение статьи 34 Бюджетного кодекса РФ, учреждениями района </w:t>
      </w:r>
      <w:r>
        <w:rPr>
          <w:color w:val="000000"/>
          <w:sz w:val="25"/>
          <w:szCs w:val="25"/>
          <w:shd w:fill="FFFFFF" w:val="clear"/>
          <w:lang w:eastAsia="en-US"/>
        </w:rPr>
        <w:t xml:space="preserve">допущено неэффективное использование бюджетных средств в части оплаты штрафа, пени на общую сумму 1 200,6 </w:t>
      </w:r>
      <w:r>
        <w:rPr>
          <w:color w:val="000000"/>
          <w:sz w:val="25"/>
          <w:szCs w:val="25"/>
          <w:lang w:eastAsia="en-US"/>
        </w:rPr>
        <w:t>тыс. руб.,</w:t>
      </w:r>
      <w:r>
        <w:rPr>
          <w:color w:val="000000"/>
          <w:sz w:val="25"/>
          <w:szCs w:val="25"/>
          <w:shd w:fill="FFFFFF" w:val="clear"/>
          <w:lang w:eastAsia="en-US"/>
        </w:rPr>
        <w:t xml:space="preserve"> в том числе: п</w:t>
      </w:r>
      <w:r>
        <w:rPr>
          <w:rFonts w:eastAsia="Calibri"/>
          <w:color w:val="000000"/>
          <w:sz w:val="25"/>
          <w:szCs w:val="25"/>
          <w:shd w:fill="FFFFFF" w:val="clear"/>
          <w:lang w:eastAsia="en-US"/>
        </w:rPr>
        <w:t xml:space="preserve">о учреждениям, подведомственных Комитету по образованию администрации Тулунского муниципального района в сумме 388,8 тыс. руб.; </w:t>
      </w:r>
      <w:r>
        <w:rPr>
          <w:color w:val="000000"/>
          <w:sz w:val="25"/>
          <w:szCs w:val="25"/>
          <w:shd w:fill="FFFFFF" w:val="clear"/>
          <w:lang w:eastAsia="en-US"/>
        </w:rPr>
        <w:t>п</w:t>
      </w:r>
      <w:r>
        <w:rPr>
          <w:rFonts w:eastAsia="Calibri"/>
          <w:color w:val="000000"/>
          <w:sz w:val="25"/>
          <w:szCs w:val="25"/>
          <w:shd w:fill="FFFFFF" w:val="clear"/>
          <w:lang w:eastAsia="en-US"/>
        </w:rPr>
        <w:t xml:space="preserve">о учреждениям, подведомственных Администрации Тулунского муниципального района в сумме 669,8 тыс. руб.; </w:t>
      </w:r>
      <w:r>
        <w:rPr>
          <w:color w:val="000000"/>
          <w:sz w:val="25"/>
          <w:szCs w:val="25"/>
          <w:shd w:fill="FFFFFF" w:val="clear"/>
          <w:lang w:eastAsia="en-US"/>
        </w:rPr>
        <w:t>п</w:t>
      </w:r>
      <w:r>
        <w:rPr>
          <w:rFonts w:eastAsia="Calibri"/>
          <w:color w:val="000000"/>
          <w:sz w:val="25"/>
          <w:szCs w:val="25"/>
          <w:shd w:fill="FFFFFF" w:val="clear"/>
          <w:lang w:eastAsia="en-US"/>
        </w:rPr>
        <w:t>о учреждениям, подведомственных Комитету по культуре, молодёжной политике и спорту администрации Тулунского муниципального района в сумме</w:t>
      </w:r>
      <w:r>
        <w:rPr>
          <w:rFonts w:eastAsia="Calibri"/>
          <w:color w:val="000000"/>
          <w:sz w:val="25"/>
          <w:szCs w:val="25"/>
          <w:lang w:eastAsia="en-US"/>
        </w:rPr>
        <w:t xml:space="preserve">  142,0 тыс. руб.</w:t>
      </w:r>
    </w:p>
    <w:p>
      <w:pPr>
        <w:pStyle w:val="Normal"/>
        <w:spacing w:lineRule="atLeast" w:line="100"/>
        <w:ind w:firstLine="708" w:right="0"/>
        <w:rPr>
          <w:sz w:val="25"/>
          <w:szCs w:val="25"/>
        </w:rPr>
      </w:pPr>
      <w:r>
        <w:rPr>
          <w:sz w:val="25"/>
          <w:szCs w:val="25"/>
        </w:rPr>
      </w:r>
    </w:p>
    <w:p>
      <w:pPr>
        <w:pStyle w:val="Normal"/>
        <w:tabs>
          <w:tab w:val="clear" w:pos="720"/>
          <w:tab w:val="left" w:pos="1080" w:leader="none"/>
        </w:tabs>
        <w:ind w:hanging="0" w:right="176"/>
        <w:jc w:val="center"/>
        <w:rPr/>
      </w:pPr>
      <w:r>
        <w:rPr>
          <w:b/>
          <w:sz w:val="25"/>
          <w:szCs w:val="25"/>
        </w:rPr>
        <w:t>5. Анализ исполнения расходной части бюджета.</w:t>
      </w:r>
    </w:p>
    <w:p>
      <w:pPr>
        <w:pStyle w:val="Normal"/>
        <w:tabs>
          <w:tab w:val="clear" w:pos="720"/>
          <w:tab w:val="left" w:pos="1080" w:leader="none"/>
        </w:tabs>
        <w:ind w:hanging="0" w:right="176"/>
        <w:jc w:val="center"/>
        <w:rPr>
          <w:b/>
          <w:sz w:val="25"/>
          <w:szCs w:val="25"/>
        </w:rPr>
      </w:pPr>
      <w:r>
        <w:rPr>
          <w:b/>
          <w:sz w:val="25"/>
          <w:szCs w:val="25"/>
        </w:rPr>
      </w:r>
    </w:p>
    <w:p>
      <w:pPr>
        <w:pStyle w:val="Normal"/>
        <w:tabs>
          <w:tab w:val="clear" w:pos="720"/>
          <w:tab w:val="left" w:pos="709" w:leader="none"/>
        </w:tabs>
        <w:rPr>
          <w:sz w:val="25"/>
          <w:szCs w:val="25"/>
        </w:rPr>
      </w:pPr>
      <w:r>
        <w:rPr>
          <w:sz w:val="25"/>
          <w:szCs w:val="25"/>
        </w:rPr>
        <w:tab/>
        <w:t>По отчету об исполнении бюджета Тулунского муниципального района за 2025 год расходы исполнены в сумме 2 242 232,9 тыс. руб. или 98,8% от уточненного плана на год. Достоверность произведенных расходов  бюджета Тулунского муниципального района, отраженных в отчете об исполнении бюджета Тулунского муниципального района за 2025г. в ф. №0503117, подтверждена отчетом Управления Федерального казначейства по Иркутской области по поступлениям и выбытиям ф. №0503151 по состоянию на 1.01.2026г.</w:t>
      </w:r>
    </w:p>
    <w:p>
      <w:pPr>
        <w:pStyle w:val="Normal"/>
        <w:tabs>
          <w:tab w:val="clear" w:pos="720"/>
          <w:tab w:val="left" w:pos="709" w:leader="none"/>
        </w:tabs>
        <w:spacing w:before="0" w:after="0"/>
        <w:ind w:firstLine="709" w:right="176"/>
        <w:contextualSpacing/>
        <w:rPr>
          <w:sz w:val="25"/>
          <w:szCs w:val="25"/>
        </w:rPr>
      </w:pPr>
      <w:r>
        <w:rPr>
          <w:sz w:val="25"/>
          <w:szCs w:val="25"/>
        </w:rPr>
        <w:t>В соответствии с ведомственной структурой расходов бюджета исполнение бюджета по расходам осуществляли пять  главных распорядителей бюджетных средств.</w:t>
      </w:r>
    </w:p>
    <w:p>
      <w:pPr>
        <w:pStyle w:val="Normal"/>
        <w:tabs>
          <w:tab w:val="clear" w:pos="720"/>
          <w:tab w:val="left" w:pos="709" w:leader="none"/>
        </w:tabs>
        <w:spacing w:before="0" w:after="0"/>
        <w:ind w:firstLine="709" w:right="176"/>
        <w:contextualSpacing/>
        <w:jc w:val="right"/>
        <w:rPr>
          <w:sz w:val="25"/>
          <w:szCs w:val="25"/>
        </w:rPr>
      </w:pPr>
      <w:r>
        <w:rPr>
          <w:sz w:val="25"/>
          <w:szCs w:val="25"/>
        </w:rPr>
        <w:t>тыс .руб.</w:t>
      </w:r>
    </w:p>
    <w:p>
      <w:pPr>
        <w:pStyle w:val="Normal"/>
        <w:tabs>
          <w:tab w:val="clear" w:pos="720"/>
          <w:tab w:val="left" w:pos="709" w:leader="none"/>
        </w:tabs>
        <w:spacing w:before="0" w:after="0"/>
        <w:ind w:firstLine="709" w:right="176"/>
        <w:contextualSpacing/>
        <w:rPr>
          <w:sz w:val="25"/>
          <w:szCs w:val="25"/>
        </w:rPr>
      </w:pPr>
      <w:r>
        <w:rPr>
          <w:sz w:val="25"/>
          <w:szCs w:val="25"/>
        </w:rPr>
      </w:r>
    </w:p>
    <w:tbl>
      <w:tblPr>
        <w:tblW w:w="9611" w:type="dxa"/>
        <w:jc w:val="left"/>
        <w:tblInd w:w="34" w:type="dxa"/>
        <w:tblLayout w:type="fixed"/>
        <w:tblCellMar>
          <w:top w:w="55" w:type="dxa"/>
          <w:left w:w="55" w:type="dxa"/>
          <w:bottom w:w="55" w:type="dxa"/>
          <w:right w:w="55" w:type="dxa"/>
        </w:tblCellMar>
        <w:tblLook w:firstRow="1" w:noVBand="1" w:lastRow="0" w:firstColumn="1" w:lastColumn="0" w:noHBand="0" w:val="04a0"/>
      </w:tblPr>
      <w:tblGrid>
        <w:gridCol w:w="790"/>
        <w:gridCol w:w="3014"/>
        <w:gridCol w:w="1941"/>
        <w:gridCol w:w="1933"/>
        <w:gridCol w:w="1933"/>
      </w:tblGrid>
      <w:tr>
        <w:trPr/>
        <w:tc>
          <w:tcPr>
            <w:tcW w:w="790" w:type="dxa"/>
            <w:tcBorders>
              <w:top w:val="single" w:sz="2" w:space="0" w:color="000000"/>
              <w:left w:val="single" w:sz="2" w:space="0" w:color="000000"/>
              <w:bottom w:val="single" w:sz="2" w:space="0" w:color="000000"/>
            </w:tcBorders>
          </w:tcPr>
          <w:p>
            <w:pPr>
              <w:pStyle w:val="Style23"/>
              <w:widowControl w:val="false"/>
              <w:ind w:firstLine="283" w:right="170"/>
              <w:jc w:val="center"/>
              <w:rPr>
                <w:sz w:val="20"/>
                <w:szCs w:val="20"/>
              </w:rPr>
            </w:pPr>
            <w:r>
              <w:rPr>
                <w:sz w:val="20"/>
                <w:szCs w:val="20"/>
              </w:rPr>
              <w:t xml:space="preserve">№ </w:t>
            </w:r>
            <w:r>
              <w:rPr>
                <w:sz w:val="20"/>
                <w:szCs w:val="20"/>
              </w:rPr>
              <w:t>п/п</w:t>
            </w:r>
          </w:p>
        </w:tc>
        <w:tc>
          <w:tcPr>
            <w:tcW w:w="3014" w:type="dxa"/>
            <w:tcBorders>
              <w:top w:val="single" w:sz="2" w:space="0" w:color="000000"/>
              <w:left w:val="single" w:sz="2" w:space="0" w:color="000000"/>
              <w:bottom w:val="single" w:sz="2" w:space="0" w:color="000000"/>
            </w:tcBorders>
          </w:tcPr>
          <w:p>
            <w:pPr>
              <w:pStyle w:val="Style23"/>
              <w:widowControl w:val="false"/>
              <w:rPr>
                <w:sz w:val="20"/>
                <w:szCs w:val="20"/>
              </w:rPr>
            </w:pPr>
            <w:r>
              <w:rPr>
                <w:sz w:val="20"/>
                <w:szCs w:val="20"/>
              </w:rPr>
              <w:t>Главные распорядители бюджетных средств</w:t>
            </w:r>
          </w:p>
        </w:tc>
        <w:tc>
          <w:tcPr>
            <w:tcW w:w="1941" w:type="dxa"/>
            <w:tcBorders>
              <w:top w:val="single" w:sz="2" w:space="0" w:color="000000"/>
              <w:left w:val="single" w:sz="2" w:space="0" w:color="000000"/>
              <w:bottom w:val="single" w:sz="2" w:space="0" w:color="000000"/>
            </w:tcBorders>
          </w:tcPr>
          <w:p>
            <w:pPr>
              <w:pStyle w:val="Style23"/>
              <w:widowControl w:val="false"/>
              <w:jc w:val="center"/>
              <w:rPr>
                <w:sz w:val="20"/>
                <w:szCs w:val="20"/>
              </w:rPr>
            </w:pPr>
            <w:r>
              <w:rPr>
                <w:sz w:val="20"/>
                <w:szCs w:val="20"/>
              </w:rPr>
              <w:t>План на</w:t>
            </w:r>
          </w:p>
          <w:p>
            <w:pPr>
              <w:pStyle w:val="Style23"/>
              <w:widowControl w:val="false"/>
              <w:jc w:val="center"/>
              <w:rPr>
                <w:sz w:val="20"/>
                <w:szCs w:val="20"/>
              </w:rPr>
            </w:pPr>
            <w:r>
              <w:rPr>
                <w:sz w:val="20"/>
                <w:szCs w:val="20"/>
              </w:rPr>
              <w:t xml:space="preserve"> </w:t>
            </w:r>
            <w:r>
              <w:rPr>
                <w:sz w:val="20"/>
                <w:szCs w:val="20"/>
              </w:rPr>
              <w:t>2025 год</w:t>
            </w:r>
          </w:p>
        </w:tc>
        <w:tc>
          <w:tcPr>
            <w:tcW w:w="1933" w:type="dxa"/>
            <w:tcBorders>
              <w:top w:val="single" w:sz="2" w:space="0" w:color="000000"/>
              <w:left w:val="single" w:sz="2" w:space="0" w:color="000000"/>
              <w:bottom w:val="single" w:sz="2" w:space="0" w:color="000000"/>
            </w:tcBorders>
          </w:tcPr>
          <w:p>
            <w:pPr>
              <w:pStyle w:val="Style23"/>
              <w:widowControl w:val="false"/>
              <w:ind w:hanging="57" w:right="170"/>
              <w:jc w:val="center"/>
              <w:rPr>
                <w:sz w:val="20"/>
                <w:szCs w:val="20"/>
              </w:rPr>
            </w:pPr>
            <w:r>
              <w:rPr>
                <w:sz w:val="20"/>
                <w:szCs w:val="20"/>
              </w:rPr>
              <w:t>Исполнено</w:t>
            </w:r>
          </w:p>
          <w:p>
            <w:pPr>
              <w:pStyle w:val="Style23"/>
              <w:widowControl w:val="false"/>
              <w:ind w:firstLine="57" w:right="170"/>
              <w:jc w:val="center"/>
              <w:rPr>
                <w:sz w:val="20"/>
                <w:szCs w:val="20"/>
              </w:rPr>
            </w:pPr>
            <w:r>
              <w:rPr>
                <w:sz w:val="20"/>
                <w:szCs w:val="20"/>
              </w:rPr>
              <w:t xml:space="preserve"> </w:t>
            </w:r>
            <w:r>
              <w:rPr>
                <w:sz w:val="20"/>
                <w:szCs w:val="20"/>
              </w:rPr>
              <w:t xml:space="preserve">за 2025 год </w:t>
            </w:r>
          </w:p>
        </w:tc>
        <w:tc>
          <w:tcPr>
            <w:tcW w:w="1933" w:type="dxa"/>
            <w:tcBorders>
              <w:top w:val="single" w:sz="2" w:space="0" w:color="000000"/>
              <w:left w:val="single" w:sz="2" w:space="0" w:color="000000"/>
              <w:bottom w:val="single" w:sz="2" w:space="0" w:color="000000"/>
              <w:right w:val="single" w:sz="2" w:space="0" w:color="000000"/>
            </w:tcBorders>
          </w:tcPr>
          <w:p>
            <w:pPr>
              <w:pStyle w:val="Style23"/>
              <w:widowControl w:val="false"/>
              <w:rPr>
                <w:rFonts w:eastAsia="Calibri"/>
                <w:sz w:val="28"/>
                <w:szCs w:val="28"/>
              </w:rPr>
            </w:pPr>
            <w:r>
              <w:rPr>
                <w:sz w:val="20"/>
                <w:szCs w:val="20"/>
              </w:rPr>
              <w:t>% исполнения</w:t>
            </w:r>
          </w:p>
        </w:tc>
      </w:tr>
      <w:tr>
        <w:trPr/>
        <w:tc>
          <w:tcPr>
            <w:tcW w:w="790" w:type="dxa"/>
            <w:tcBorders>
              <w:left w:val="single" w:sz="2" w:space="0" w:color="000000"/>
              <w:bottom w:val="single" w:sz="2" w:space="0" w:color="000000"/>
            </w:tcBorders>
          </w:tcPr>
          <w:p>
            <w:pPr>
              <w:pStyle w:val="Style23"/>
              <w:widowControl w:val="false"/>
              <w:ind w:firstLine="283" w:right="170"/>
              <w:jc w:val="center"/>
              <w:rPr>
                <w:sz w:val="20"/>
                <w:szCs w:val="20"/>
              </w:rPr>
            </w:pPr>
            <w:r>
              <w:rPr>
                <w:sz w:val="20"/>
                <w:szCs w:val="20"/>
              </w:rPr>
              <w:t>1</w:t>
            </w:r>
          </w:p>
        </w:tc>
        <w:tc>
          <w:tcPr>
            <w:tcW w:w="3014" w:type="dxa"/>
            <w:tcBorders>
              <w:left w:val="single" w:sz="2" w:space="0" w:color="000000"/>
              <w:bottom w:val="single" w:sz="2" w:space="0" w:color="000000"/>
            </w:tcBorders>
          </w:tcPr>
          <w:p>
            <w:pPr>
              <w:pStyle w:val="Style23"/>
              <w:widowControl w:val="false"/>
              <w:ind w:firstLine="57" w:right="170"/>
              <w:rPr>
                <w:sz w:val="20"/>
                <w:szCs w:val="20"/>
              </w:rPr>
            </w:pPr>
            <w:r>
              <w:rPr>
                <w:sz w:val="20"/>
                <w:szCs w:val="20"/>
              </w:rPr>
              <w:t>Администрация Тулунского муниципального района</w:t>
            </w:r>
          </w:p>
        </w:tc>
        <w:tc>
          <w:tcPr>
            <w:tcW w:w="1941" w:type="dxa"/>
            <w:tcBorders>
              <w:left w:val="single" w:sz="2" w:space="0" w:color="000000"/>
              <w:bottom w:val="single" w:sz="2" w:space="0" w:color="000000"/>
            </w:tcBorders>
          </w:tcPr>
          <w:p>
            <w:pPr>
              <w:pStyle w:val="Style23"/>
              <w:widowControl w:val="false"/>
              <w:ind w:hanging="0" w:right="170"/>
              <w:jc w:val="center"/>
              <w:rPr>
                <w:sz w:val="20"/>
                <w:szCs w:val="20"/>
              </w:rPr>
            </w:pPr>
            <w:r>
              <w:rPr>
                <w:sz w:val="20"/>
                <w:szCs w:val="20"/>
              </w:rPr>
            </w:r>
          </w:p>
          <w:p>
            <w:pPr>
              <w:pStyle w:val="Style23"/>
              <w:widowControl w:val="false"/>
              <w:ind w:hanging="0" w:right="170"/>
              <w:jc w:val="center"/>
              <w:rPr>
                <w:sz w:val="20"/>
                <w:szCs w:val="20"/>
              </w:rPr>
            </w:pPr>
            <w:r>
              <w:rPr>
                <w:sz w:val="20"/>
                <w:szCs w:val="20"/>
              </w:rPr>
              <w:t>246 513,7</w:t>
            </w:r>
          </w:p>
          <w:p>
            <w:pPr>
              <w:pStyle w:val="Style23"/>
              <w:widowControl w:val="false"/>
              <w:ind w:hanging="0" w:right="170"/>
              <w:jc w:val="center"/>
              <w:rPr>
                <w:sz w:val="20"/>
                <w:szCs w:val="20"/>
              </w:rPr>
            </w:pPr>
            <w:r>
              <w:rPr>
                <w:sz w:val="20"/>
                <w:szCs w:val="20"/>
              </w:rPr>
            </w:r>
          </w:p>
        </w:tc>
        <w:tc>
          <w:tcPr>
            <w:tcW w:w="1933" w:type="dxa"/>
            <w:tcBorders>
              <w:left w:val="single" w:sz="2" w:space="0" w:color="000000"/>
              <w:bottom w:val="single" w:sz="2" w:space="0" w:color="000000"/>
            </w:tcBorders>
          </w:tcPr>
          <w:p>
            <w:pPr>
              <w:pStyle w:val="Style23"/>
              <w:widowControl w:val="false"/>
              <w:jc w:val="center"/>
              <w:rPr>
                <w:sz w:val="20"/>
                <w:szCs w:val="20"/>
              </w:rPr>
            </w:pPr>
            <w:r>
              <w:rPr>
                <w:sz w:val="20"/>
                <w:szCs w:val="20"/>
              </w:rPr>
            </w:r>
          </w:p>
          <w:p>
            <w:pPr>
              <w:pStyle w:val="Style23"/>
              <w:widowControl w:val="false"/>
              <w:jc w:val="center"/>
              <w:rPr>
                <w:sz w:val="20"/>
                <w:szCs w:val="20"/>
              </w:rPr>
            </w:pPr>
            <w:r>
              <w:rPr>
                <w:sz w:val="20"/>
                <w:szCs w:val="20"/>
              </w:rPr>
              <w:t>232 417,1</w:t>
            </w:r>
          </w:p>
        </w:tc>
        <w:tc>
          <w:tcPr>
            <w:tcW w:w="1933" w:type="dxa"/>
            <w:tcBorders>
              <w:left w:val="single" w:sz="2" w:space="0" w:color="000000"/>
              <w:bottom w:val="single" w:sz="2" w:space="0" w:color="000000"/>
              <w:right w:val="single" w:sz="2" w:space="0" w:color="000000"/>
            </w:tcBorders>
          </w:tcPr>
          <w:p>
            <w:pPr>
              <w:pStyle w:val="Style23"/>
              <w:widowControl w:val="false"/>
              <w:rPr>
                <w:sz w:val="20"/>
                <w:szCs w:val="20"/>
              </w:rPr>
            </w:pPr>
            <w:r>
              <w:rPr>
                <w:sz w:val="20"/>
                <w:szCs w:val="20"/>
              </w:rPr>
            </w:r>
          </w:p>
          <w:p>
            <w:pPr>
              <w:pStyle w:val="Style23"/>
              <w:widowControl w:val="false"/>
              <w:rPr>
                <w:sz w:val="20"/>
                <w:szCs w:val="20"/>
              </w:rPr>
            </w:pPr>
            <w:r>
              <w:rPr>
                <w:sz w:val="20"/>
                <w:szCs w:val="20"/>
              </w:rPr>
              <w:t>94,3</w:t>
            </w:r>
          </w:p>
        </w:tc>
      </w:tr>
      <w:tr>
        <w:trPr/>
        <w:tc>
          <w:tcPr>
            <w:tcW w:w="790" w:type="dxa"/>
            <w:tcBorders>
              <w:left w:val="single" w:sz="2" w:space="0" w:color="000000"/>
              <w:bottom w:val="single" w:sz="2" w:space="0" w:color="000000"/>
            </w:tcBorders>
          </w:tcPr>
          <w:p>
            <w:pPr>
              <w:pStyle w:val="Style23"/>
              <w:widowControl w:val="false"/>
              <w:ind w:firstLine="283" w:right="170"/>
              <w:jc w:val="center"/>
              <w:rPr>
                <w:sz w:val="20"/>
                <w:szCs w:val="20"/>
              </w:rPr>
            </w:pPr>
            <w:r>
              <w:rPr>
                <w:sz w:val="20"/>
                <w:szCs w:val="20"/>
              </w:rPr>
              <w:t>2</w:t>
            </w:r>
          </w:p>
        </w:tc>
        <w:tc>
          <w:tcPr>
            <w:tcW w:w="3014" w:type="dxa"/>
            <w:tcBorders>
              <w:left w:val="single" w:sz="2" w:space="0" w:color="000000"/>
              <w:bottom w:val="single" w:sz="2" w:space="0" w:color="000000"/>
            </w:tcBorders>
          </w:tcPr>
          <w:p>
            <w:pPr>
              <w:pStyle w:val="Style23"/>
              <w:widowControl w:val="false"/>
              <w:ind w:firstLine="57" w:right="170"/>
              <w:rPr>
                <w:sz w:val="20"/>
                <w:szCs w:val="20"/>
              </w:rPr>
            </w:pPr>
            <w:r>
              <w:rPr>
                <w:sz w:val="20"/>
                <w:szCs w:val="20"/>
              </w:rPr>
              <w:t>Дума Тулунского муниципального района</w:t>
            </w:r>
          </w:p>
        </w:tc>
        <w:tc>
          <w:tcPr>
            <w:tcW w:w="1941" w:type="dxa"/>
            <w:tcBorders>
              <w:left w:val="single" w:sz="2" w:space="0" w:color="000000"/>
              <w:bottom w:val="single" w:sz="2" w:space="0" w:color="000000"/>
            </w:tcBorders>
          </w:tcPr>
          <w:p>
            <w:pPr>
              <w:pStyle w:val="Style23"/>
              <w:widowControl w:val="false"/>
              <w:ind w:hanging="0" w:right="170"/>
              <w:jc w:val="center"/>
              <w:rPr>
                <w:sz w:val="20"/>
                <w:szCs w:val="20"/>
              </w:rPr>
            </w:pPr>
            <w:r>
              <w:rPr>
                <w:sz w:val="20"/>
                <w:szCs w:val="20"/>
              </w:rPr>
            </w:r>
          </w:p>
          <w:p>
            <w:pPr>
              <w:pStyle w:val="Style23"/>
              <w:widowControl w:val="false"/>
              <w:ind w:hanging="0" w:right="170"/>
              <w:jc w:val="center"/>
              <w:rPr>
                <w:sz w:val="20"/>
                <w:szCs w:val="20"/>
              </w:rPr>
            </w:pPr>
            <w:r>
              <w:rPr>
                <w:sz w:val="20"/>
                <w:szCs w:val="20"/>
              </w:rPr>
              <w:t>7 640,9</w:t>
            </w:r>
          </w:p>
        </w:tc>
        <w:tc>
          <w:tcPr>
            <w:tcW w:w="1933" w:type="dxa"/>
            <w:tcBorders>
              <w:left w:val="single" w:sz="2" w:space="0" w:color="000000"/>
              <w:bottom w:val="single" w:sz="2" w:space="0" w:color="000000"/>
            </w:tcBorders>
          </w:tcPr>
          <w:p>
            <w:pPr>
              <w:pStyle w:val="Style23"/>
              <w:widowControl w:val="false"/>
              <w:jc w:val="center"/>
              <w:rPr>
                <w:sz w:val="20"/>
                <w:szCs w:val="20"/>
              </w:rPr>
            </w:pPr>
            <w:r>
              <w:rPr>
                <w:sz w:val="20"/>
                <w:szCs w:val="20"/>
              </w:rPr>
            </w:r>
          </w:p>
          <w:p>
            <w:pPr>
              <w:pStyle w:val="Style23"/>
              <w:widowControl w:val="false"/>
              <w:jc w:val="center"/>
              <w:rPr>
                <w:sz w:val="20"/>
                <w:szCs w:val="20"/>
              </w:rPr>
            </w:pPr>
            <w:r>
              <w:rPr>
                <w:sz w:val="20"/>
                <w:szCs w:val="20"/>
              </w:rPr>
              <w:t>7 521,4</w:t>
            </w:r>
          </w:p>
        </w:tc>
        <w:tc>
          <w:tcPr>
            <w:tcW w:w="1933" w:type="dxa"/>
            <w:tcBorders>
              <w:left w:val="single" w:sz="2" w:space="0" w:color="000000"/>
              <w:bottom w:val="single" w:sz="2" w:space="0" w:color="000000"/>
              <w:right w:val="single" w:sz="2" w:space="0" w:color="000000"/>
            </w:tcBorders>
          </w:tcPr>
          <w:p>
            <w:pPr>
              <w:pStyle w:val="Style23"/>
              <w:widowControl w:val="false"/>
              <w:rPr>
                <w:sz w:val="20"/>
                <w:szCs w:val="20"/>
              </w:rPr>
            </w:pPr>
            <w:r>
              <w:rPr>
                <w:sz w:val="20"/>
                <w:szCs w:val="20"/>
              </w:rPr>
            </w:r>
          </w:p>
          <w:p>
            <w:pPr>
              <w:pStyle w:val="Style23"/>
              <w:widowControl w:val="false"/>
              <w:rPr>
                <w:sz w:val="20"/>
                <w:szCs w:val="20"/>
              </w:rPr>
            </w:pPr>
            <w:r>
              <w:rPr>
                <w:sz w:val="20"/>
                <w:szCs w:val="20"/>
              </w:rPr>
              <w:t>98,4</w:t>
            </w:r>
          </w:p>
        </w:tc>
      </w:tr>
      <w:tr>
        <w:trPr/>
        <w:tc>
          <w:tcPr>
            <w:tcW w:w="790" w:type="dxa"/>
            <w:tcBorders>
              <w:left w:val="single" w:sz="2" w:space="0" w:color="000000"/>
              <w:bottom w:val="single" w:sz="2" w:space="0" w:color="000000"/>
            </w:tcBorders>
          </w:tcPr>
          <w:p>
            <w:pPr>
              <w:pStyle w:val="Style23"/>
              <w:widowControl w:val="false"/>
              <w:ind w:firstLine="283" w:right="170"/>
              <w:jc w:val="center"/>
              <w:rPr>
                <w:sz w:val="20"/>
                <w:szCs w:val="20"/>
              </w:rPr>
            </w:pPr>
            <w:r>
              <w:rPr>
                <w:sz w:val="20"/>
                <w:szCs w:val="20"/>
              </w:rPr>
              <w:t>3</w:t>
            </w:r>
          </w:p>
        </w:tc>
        <w:tc>
          <w:tcPr>
            <w:tcW w:w="3014" w:type="dxa"/>
            <w:tcBorders>
              <w:left w:val="single" w:sz="2" w:space="0" w:color="000000"/>
              <w:bottom w:val="single" w:sz="2" w:space="0" w:color="000000"/>
            </w:tcBorders>
          </w:tcPr>
          <w:p>
            <w:pPr>
              <w:pStyle w:val="Style23"/>
              <w:widowControl w:val="false"/>
              <w:ind w:firstLine="57" w:right="170"/>
              <w:rPr>
                <w:sz w:val="20"/>
                <w:szCs w:val="20"/>
              </w:rPr>
            </w:pPr>
            <w:r>
              <w:rPr>
                <w:sz w:val="20"/>
                <w:szCs w:val="20"/>
              </w:rPr>
              <w:t xml:space="preserve">Комитет по культуре, молодежной политике и спорту администрации Тулунского муниципального района </w:t>
            </w:r>
          </w:p>
        </w:tc>
        <w:tc>
          <w:tcPr>
            <w:tcW w:w="1941" w:type="dxa"/>
            <w:tcBorders>
              <w:left w:val="single" w:sz="2" w:space="0" w:color="000000"/>
              <w:bottom w:val="single" w:sz="2" w:space="0" w:color="000000"/>
            </w:tcBorders>
          </w:tcPr>
          <w:p>
            <w:pPr>
              <w:pStyle w:val="Style23"/>
              <w:widowControl w:val="false"/>
              <w:ind w:hanging="0" w:right="170"/>
              <w:jc w:val="center"/>
              <w:rPr>
                <w:sz w:val="20"/>
                <w:szCs w:val="20"/>
              </w:rPr>
            </w:pPr>
            <w:r>
              <w:rPr>
                <w:sz w:val="20"/>
                <w:szCs w:val="20"/>
              </w:rPr>
            </w:r>
          </w:p>
          <w:p>
            <w:pPr>
              <w:pStyle w:val="Style23"/>
              <w:widowControl w:val="false"/>
              <w:ind w:hanging="0" w:right="170"/>
              <w:jc w:val="center"/>
              <w:rPr>
                <w:sz w:val="20"/>
                <w:szCs w:val="20"/>
              </w:rPr>
            </w:pPr>
            <w:r>
              <w:rPr>
                <w:sz w:val="20"/>
                <w:szCs w:val="20"/>
              </w:rPr>
              <w:t>188 579,9</w:t>
            </w:r>
          </w:p>
        </w:tc>
        <w:tc>
          <w:tcPr>
            <w:tcW w:w="1933" w:type="dxa"/>
            <w:tcBorders>
              <w:left w:val="single" w:sz="2" w:space="0" w:color="000000"/>
              <w:bottom w:val="single" w:sz="2" w:space="0" w:color="000000"/>
            </w:tcBorders>
          </w:tcPr>
          <w:p>
            <w:pPr>
              <w:pStyle w:val="Style23"/>
              <w:widowControl w:val="false"/>
              <w:jc w:val="center"/>
              <w:rPr>
                <w:sz w:val="20"/>
                <w:szCs w:val="20"/>
              </w:rPr>
            </w:pPr>
            <w:r>
              <w:rPr>
                <w:sz w:val="20"/>
                <w:szCs w:val="20"/>
              </w:rPr>
            </w:r>
          </w:p>
          <w:p>
            <w:pPr>
              <w:pStyle w:val="Style23"/>
              <w:widowControl w:val="false"/>
              <w:jc w:val="center"/>
              <w:rPr>
                <w:sz w:val="20"/>
                <w:szCs w:val="20"/>
              </w:rPr>
            </w:pPr>
            <w:r>
              <w:rPr>
                <w:sz w:val="20"/>
                <w:szCs w:val="20"/>
              </w:rPr>
              <w:t>187 571,7</w:t>
            </w:r>
          </w:p>
        </w:tc>
        <w:tc>
          <w:tcPr>
            <w:tcW w:w="1933" w:type="dxa"/>
            <w:tcBorders>
              <w:left w:val="single" w:sz="2" w:space="0" w:color="000000"/>
              <w:bottom w:val="single" w:sz="2" w:space="0" w:color="000000"/>
              <w:right w:val="single" w:sz="2" w:space="0" w:color="000000"/>
            </w:tcBorders>
          </w:tcPr>
          <w:p>
            <w:pPr>
              <w:pStyle w:val="Style23"/>
              <w:widowControl w:val="false"/>
              <w:rPr>
                <w:sz w:val="20"/>
                <w:szCs w:val="20"/>
              </w:rPr>
            </w:pPr>
            <w:r>
              <w:rPr>
                <w:sz w:val="20"/>
                <w:szCs w:val="20"/>
              </w:rPr>
            </w:r>
          </w:p>
          <w:p>
            <w:pPr>
              <w:pStyle w:val="Style23"/>
              <w:widowControl w:val="false"/>
              <w:rPr>
                <w:sz w:val="20"/>
                <w:szCs w:val="20"/>
              </w:rPr>
            </w:pPr>
            <w:r>
              <w:rPr>
                <w:sz w:val="20"/>
                <w:szCs w:val="20"/>
              </w:rPr>
              <w:t>99,5</w:t>
            </w:r>
          </w:p>
        </w:tc>
      </w:tr>
      <w:tr>
        <w:trPr/>
        <w:tc>
          <w:tcPr>
            <w:tcW w:w="790" w:type="dxa"/>
            <w:tcBorders>
              <w:left w:val="single" w:sz="2" w:space="0" w:color="000000"/>
              <w:bottom w:val="single" w:sz="2" w:space="0" w:color="000000"/>
            </w:tcBorders>
          </w:tcPr>
          <w:p>
            <w:pPr>
              <w:pStyle w:val="Style23"/>
              <w:widowControl w:val="false"/>
              <w:ind w:firstLine="283" w:right="170"/>
              <w:jc w:val="center"/>
              <w:rPr>
                <w:sz w:val="20"/>
                <w:szCs w:val="20"/>
              </w:rPr>
            </w:pPr>
            <w:r>
              <w:rPr>
                <w:sz w:val="20"/>
                <w:szCs w:val="20"/>
              </w:rPr>
              <w:t>4</w:t>
            </w:r>
          </w:p>
        </w:tc>
        <w:tc>
          <w:tcPr>
            <w:tcW w:w="3014" w:type="dxa"/>
            <w:tcBorders>
              <w:left w:val="single" w:sz="2" w:space="0" w:color="000000"/>
              <w:bottom w:val="single" w:sz="2" w:space="0" w:color="000000"/>
            </w:tcBorders>
          </w:tcPr>
          <w:p>
            <w:pPr>
              <w:pStyle w:val="Style23"/>
              <w:widowControl w:val="false"/>
              <w:ind w:hanging="0" w:right="170"/>
              <w:rPr>
                <w:sz w:val="20"/>
                <w:szCs w:val="20"/>
              </w:rPr>
            </w:pPr>
            <w:r>
              <w:rPr>
                <w:sz w:val="20"/>
                <w:szCs w:val="20"/>
              </w:rPr>
              <w:t xml:space="preserve">Комитет по образованию администрации Тулунского муниципального района </w:t>
            </w:r>
          </w:p>
        </w:tc>
        <w:tc>
          <w:tcPr>
            <w:tcW w:w="1941" w:type="dxa"/>
            <w:tcBorders>
              <w:left w:val="single" w:sz="2" w:space="0" w:color="000000"/>
              <w:bottom w:val="single" w:sz="2" w:space="0" w:color="000000"/>
            </w:tcBorders>
          </w:tcPr>
          <w:p>
            <w:pPr>
              <w:pStyle w:val="Style23"/>
              <w:widowControl w:val="false"/>
              <w:ind w:hanging="0" w:right="170"/>
              <w:jc w:val="center"/>
              <w:rPr>
                <w:sz w:val="20"/>
                <w:szCs w:val="20"/>
              </w:rPr>
            </w:pPr>
            <w:r>
              <w:rPr>
                <w:sz w:val="20"/>
                <w:szCs w:val="20"/>
              </w:rPr>
            </w:r>
          </w:p>
          <w:p>
            <w:pPr>
              <w:pStyle w:val="Style23"/>
              <w:widowControl w:val="false"/>
              <w:ind w:hanging="0" w:right="170"/>
              <w:jc w:val="center"/>
              <w:rPr>
                <w:sz w:val="20"/>
                <w:szCs w:val="20"/>
              </w:rPr>
            </w:pPr>
            <w:r>
              <w:rPr>
                <w:sz w:val="20"/>
                <w:szCs w:val="20"/>
              </w:rPr>
              <w:t>1 464 835,4</w:t>
            </w:r>
          </w:p>
        </w:tc>
        <w:tc>
          <w:tcPr>
            <w:tcW w:w="1933" w:type="dxa"/>
            <w:tcBorders>
              <w:left w:val="single" w:sz="2" w:space="0" w:color="000000"/>
              <w:bottom w:val="single" w:sz="2" w:space="0" w:color="000000"/>
            </w:tcBorders>
          </w:tcPr>
          <w:p>
            <w:pPr>
              <w:pStyle w:val="Style23"/>
              <w:widowControl w:val="false"/>
              <w:ind w:hanging="0" w:right="170"/>
              <w:jc w:val="center"/>
              <w:rPr>
                <w:sz w:val="20"/>
                <w:szCs w:val="20"/>
              </w:rPr>
            </w:pPr>
            <w:r>
              <w:rPr>
                <w:sz w:val="20"/>
                <w:szCs w:val="20"/>
              </w:rPr>
            </w:r>
          </w:p>
          <w:p>
            <w:pPr>
              <w:pStyle w:val="Style23"/>
              <w:widowControl w:val="false"/>
              <w:ind w:hanging="0" w:right="170"/>
              <w:jc w:val="center"/>
              <w:rPr>
                <w:sz w:val="20"/>
                <w:szCs w:val="20"/>
              </w:rPr>
            </w:pPr>
            <w:r>
              <w:rPr>
                <w:sz w:val="20"/>
                <w:szCs w:val="20"/>
              </w:rPr>
              <w:t>1 453 774,4</w:t>
            </w:r>
          </w:p>
        </w:tc>
        <w:tc>
          <w:tcPr>
            <w:tcW w:w="1933" w:type="dxa"/>
            <w:tcBorders>
              <w:left w:val="single" w:sz="2" w:space="0" w:color="000000"/>
              <w:bottom w:val="single" w:sz="2" w:space="0" w:color="000000"/>
              <w:right w:val="single" w:sz="2" w:space="0" w:color="000000"/>
            </w:tcBorders>
          </w:tcPr>
          <w:p>
            <w:pPr>
              <w:pStyle w:val="Style23"/>
              <w:widowControl w:val="false"/>
              <w:rPr>
                <w:sz w:val="20"/>
                <w:szCs w:val="20"/>
              </w:rPr>
            </w:pPr>
            <w:r>
              <w:rPr>
                <w:sz w:val="20"/>
                <w:szCs w:val="20"/>
              </w:rPr>
            </w:r>
          </w:p>
          <w:p>
            <w:pPr>
              <w:pStyle w:val="Style23"/>
              <w:widowControl w:val="false"/>
              <w:rPr>
                <w:sz w:val="20"/>
                <w:szCs w:val="20"/>
              </w:rPr>
            </w:pPr>
            <w:r>
              <w:rPr>
                <w:sz w:val="20"/>
                <w:szCs w:val="20"/>
              </w:rPr>
              <w:t>99,2</w:t>
            </w:r>
          </w:p>
        </w:tc>
      </w:tr>
      <w:tr>
        <w:trPr/>
        <w:tc>
          <w:tcPr>
            <w:tcW w:w="790" w:type="dxa"/>
            <w:tcBorders>
              <w:left w:val="single" w:sz="2" w:space="0" w:color="000000"/>
              <w:bottom w:val="single" w:sz="2" w:space="0" w:color="000000"/>
            </w:tcBorders>
          </w:tcPr>
          <w:p>
            <w:pPr>
              <w:pStyle w:val="Style23"/>
              <w:widowControl w:val="false"/>
              <w:ind w:firstLine="283" w:right="170"/>
              <w:jc w:val="center"/>
              <w:rPr>
                <w:sz w:val="20"/>
                <w:szCs w:val="20"/>
              </w:rPr>
            </w:pPr>
            <w:r>
              <w:rPr>
                <w:sz w:val="20"/>
                <w:szCs w:val="20"/>
              </w:rPr>
              <w:t>5</w:t>
            </w:r>
          </w:p>
        </w:tc>
        <w:tc>
          <w:tcPr>
            <w:tcW w:w="3014" w:type="dxa"/>
            <w:tcBorders>
              <w:left w:val="single" w:sz="2" w:space="0" w:color="000000"/>
              <w:bottom w:val="single" w:sz="2" w:space="0" w:color="000000"/>
            </w:tcBorders>
          </w:tcPr>
          <w:p>
            <w:pPr>
              <w:pStyle w:val="Style23"/>
              <w:widowControl w:val="false"/>
              <w:rPr>
                <w:sz w:val="20"/>
                <w:szCs w:val="20"/>
              </w:rPr>
            </w:pPr>
            <w:r>
              <w:rPr>
                <w:sz w:val="20"/>
                <w:szCs w:val="20"/>
              </w:rPr>
              <w:t>Комитет по финансам администрации Тулунского муниципального района</w:t>
            </w:r>
          </w:p>
        </w:tc>
        <w:tc>
          <w:tcPr>
            <w:tcW w:w="1941" w:type="dxa"/>
            <w:tcBorders>
              <w:left w:val="single" w:sz="2" w:space="0" w:color="000000"/>
              <w:bottom w:val="single" w:sz="2" w:space="0" w:color="000000"/>
            </w:tcBorders>
          </w:tcPr>
          <w:p>
            <w:pPr>
              <w:pStyle w:val="Style23"/>
              <w:widowControl w:val="false"/>
              <w:ind w:hanging="0" w:right="170"/>
              <w:jc w:val="center"/>
              <w:rPr>
                <w:sz w:val="20"/>
                <w:szCs w:val="20"/>
              </w:rPr>
            </w:pPr>
            <w:r>
              <w:rPr>
                <w:sz w:val="20"/>
                <w:szCs w:val="20"/>
              </w:rPr>
            </w:r>
          </w:p>
          <w:p>
            <w:pPr>
              <w:pStyle w:val="Style23"/>
              <w:widowControl w:val="false"/>
              <w:ind w:hanging="0" w:right="170"/>
              <w:jc w:val="center"/>
              <w:rPr>
                <w:sz w:val="20"/>
                <w:szCs w:val="20"/>
              </w:rPr>
            </w:pPr>
            <w:r>
              <w:rPr>
                <w:sz w:val="20"/>
                <w:szCs w:val="20"/>
              </w:rPr>
              <w:t>362 176,1</w:t>
            </w:r>
          </w:p>
        </w:tc>
        <w:tc>
          <w:tcPr>
            <w:tcW w:w="1933" w:type="dxa"/>
            <w:tcBorders>
              <w:left w:val="single" w:sz="2" w:space="0" w:color="000000"/>
              <w:bottom w:val="single" w:sz="2" w:space="0" w:color="000000"/>
            </w:tcBorders>
          </w:tcPr>
          <w:p>
            <w:pPr>
              <w:pStyle w:val="Style23"/>
              <w:widowControl w:val="false"/>
              <w:jc w:val="center"/>
              <w:rPr>
                <w:sz w:val="20"/>
                <w:szCs w:val="20"/>
              </w:rPr>
            </w:pPr>
            <w:r>
              <w:rPr>
                <w:sz w:val="20"/>
                <w:szCs w:val="20"/>
              </w:rPr>
            </w:r>
          </w:p>
          <w:p>
            <w:pPr>
              <w:pStyle w:val="Style23"/>
              <w:widowControl w:val="false"/>
              <w:jc w:val="center"/>
              <w:rPr>
                <w:sz w:val="20"/>
                <w:szCs w:val="20"/>
              </w:rPr>
            </w:pPr>
            <w:r>
              <w:rPr>
                <w:sz w:val="20"/>
                <w:szCs w:val="20"/>
              </w:rPr>
              <w:t>360 948,3</w:t>
            </w:r>
          </w:p>
        </w:tc>
        <w:tc>
          <w:tcPr>
            <w:tcW w:w="1933" w:type="dxa"/>
            <w:tcBorders>
              <w:left w:val="single" w:sz="2" w:space="0" w:color="000000"/>
              <w:bottom w:val="single" w:sz="2" w:space="0" w:color="000000"/>
              <w:right w:val="single" w:sz="2" w:space="0" w:color="000000"/>
            </w:tcBorders>
          </w:tcPr>
          <w:p>
            <w:pPr>
              <w:pStyle w:val="Style23"/>
              <w:widowControl w:val="false"/>
              <w:rPr>
                <w:sz w:val="20"/>
                <w:szCs w:val="20"/>
              </w:rPr>
            </w:pPr>
            <w:r>
              <w:rPr>
                <w:sz w:val="20"/>
                <w:szCs w:val="20"/>
              </w:rPr>
            </w:r>
          </w:p>
          <w:p>
            <w:pPr>
              <w:pStyle w:val="Style23"/>
              <w:widowControl w:val="false"/>
              <w:rPr>
                <w:sz w:val="20"/>
                <w:szCs w:val="20"/>
              </w:rPr>
            </w:pPr>
            <w:r>
              <w:rPr>
                <w:sz w:val="20"/>
                <w:szCs w:val="20"/>
              </w:rPr>
              <w:t>99,7</w:t>
            </w:r>
          </w:p>
        </w:tc>
      </w:tr>
      <w:tr>
        <w:trPr/>
        <w:tc>
          <w:tcPr>
            <w:tcW w:w="790" w:type="dxa"/>
            <w:tcBorders>
              <w:left w:val="single" w:sz="2" w:space="0" w:color="000000"/>
              <w:bottom w:val="single" w:sz="2" w:space="0" w:color="000000"/>
            </w:tcBorders>
          </w:tcPr>
          <w:p>
            <w:pPr>
              <w:pStyle w:val="Style23"/>
              <w:widowControl w:val="false"/>
              <w:rPr>
                <w:sz w:val="20"/>
                <w:szCs w:val="20"/>
              </w:rPr>
            </w:pPr>
            <w:r>
              <w:rPr>
                <w:sz w:val="20"/>
                <w:szCs w:val="20"/>
              </w:rPr>
            </w:r>
          </w:p>
        </w:tc>
        <w:tc>
          <w:tcPr>
            <w:tcW w:w="3014" w:type="dxa"/>
            <w:tcBorders>
              <w:left w:val="single" w:sz="2" w:space="0" w:color="000000"/>
              <w:bottom w:val="single" w:sz="2" w:space="0" w:color="000000"/>
            </w:tcBorders>
          </w:tcPr>
          <w:p>
            <w:pPr>
              <w:pStyle w:val="Style23"/>
              <w:widowControl w:val="false"/>
              <w:rPr>
                <w:sz w:val="20"/>
                <w:szCs w:val="20"/>
              </w:rPr>
            </w:pPr>
            <w:r>
              <w:rPr>
                <w:sz w:val="20"/>
                <w:szCs w:val="20"/>
              </w:rPr>
              <w:t>итого</w:t>
            </w:r>
          </w:p>
        </w:tc>
        <w:tc>
          <w:tcPr>
            <w:tcW w:w="1941" w:type="dxa"/>
            <w:tcBorders>
              <w:left w:val="single" w:sz="2" w:space="0" w:color="000000"/>
              <w:bottom w:val="single" w:sz="2" w:space="0" w:color="000000"/>
            </w:tcBorders>
          </w:tcPr>
          <w:p>
            <w:pPr>
              <w:pStyle w:val="Style23"/>
              <w:widowControl w:val="false"/>
              <w:ind w:firstLine="57" w:right="170"/>
              <w:jc w:val="center"/>
              <w:rPr>
                <w:sz w:val="20"/>
                <w:szCs w:val="20"/>
              </w:rPr>
            </w:pPr>
            <w:r>
              <w:rPr>
                <w:sz w:val="20"/>
                <w:szCs w:val="20"/>
              </w:rPr>
              <w:t>2 269 746,2</w:t>
            </w:r>
          </w:p>
        </w:tc>
        <w:tc>
          <w:tcPr>
            <w:tcW w:w="1933" w:type="dxa"/>
            <w:tcBorders>
              <w:left w:val="single" w:sz="2" w:space="0" w:color="000000"/>
              <w:bottom w:val="single" w:sz="2" w:space="0" w:color="000000"/>
            </w:tcBorders>
          </w:tcPr>
          <w:p>
            <w:pPr>
              <w:pStyle w:val="Style23"/>
              <w:widowControl w:val="false"/>
              <w:ind w:hanging="0" w:right="170"/>
              <w:jc w:val="center"/>
              <w:rPr>
                <w:sz w:val="20"/>
                <w:szCs w:val="20"/>
              </w:rPr>
            </w:pPr>
            <w:r>
              <w:rPr>
                <w:sz w:val="20"/>
                <w:szCs w:val="20"/>
              </w:rPr>
              <w:t>2 242 329,93</w:t>
            </w:r>
          </w:p>
        </w:tc>
        <w:tc>
          <w:tcPr>
            <w:tcW w:w="1933" w:type="dxa"/>
            <w:tcBorders>
              <w:left w:val="single" w:sz="2" w:space="0" w:color="000000"/>
              <w:bottom w:val="single" w:sz="2" w:space="0" w:color="000000"/>
              <w:right w:val="single" w:sz="2" w:space="0" w:color="000000"/>
            </w:tcBorders>
          </w:tcPr>
          <w:p>
            <w:pPr>
              <w:pStyle w:val="Style23"/>
              <w:widowControl w:val="false"/>
              <w:rPr>
                <w:sz w:val="20"/>
                <w:szCs w:val="20"/>
              </w:rPr>
            </w:pPr>
            <w:r>
              <w:rPr>
                <w:sz w:val="20"/>
                <w:szCs w:val="20"/>
              </w:rPr>
              <w:t>98,8</w:t>
            </w:r>
          </w:p>
        </w:tc>
      </w:tr>
    </w:tbl>
    <w:p>
      <w:pPr>
        <w:pStyle w:val="Normal"/>
        <w:tabs>
          <w:tab w:val="clear" w:pos="720"/>
          <w:tab w:val="left" w:pos="709" w:leader="none"/>
        </w:tabs>
        <w:spacing w:before="0" w:after="0"/>
        <w:ind w:firstLine="709" w:right="176"/>
        <w:contextualSpacing/>
        <w:rPr>
          <w:rFonts w:eastAsia="Calibri"/>
          <w:sz w:val="28"/>
          <w:szCs w:val="28"/>
        </w:rPr>
      </w:pPr>
      <w:r>
        <w:rPr>
          <w:rFonts w:eastAsia="Calibri"/>
          <w:sz w:val="28"/>
          <w:szCs w:val="28"/>
        </w:rPr>
      </w:r>
    </w:p>
    <w:p>
      <w:pPr>
        <w:pStyle w:val="Normal"/>
        <w:tabs>
          <w:tab w:val="clear" w:pos="720"/>
          <w:tab w:val="left" w:pos="709" w:leader="none"/>
        </w:tabs>
        <w:spacing w:before="0" w:after="0"/>
        <w:ind w:firstLine="709" w:right="176"/>
        <w:contextualSpacing/>
        <w:rPr>
          <w:rFonts w:eastAsia="Calibri"/>
          <w:sz w:val="28"/>
          <w:szCs w:val="28"/>
        </w:rPr>
      </w:pPr>
      <w:r>
        <w:rPr>
          <w:rFonts w:eastAsia="Calibri"/>
          <w:sz w:val="28"/>
          <w:szCs w:val="28"/>
        </w:rPr>
        <w:t xml:space="preserve"> </w:t>
      </w:r>
      <w:r>
        <w:rPr>
          <w:rFonts w:eastAsia="Calibri"/>
          <w:sz w:val="25"/>
          <w:szCs w:val="25"/>
        </w:rPr>
        <w:t>Наибольший процент исполнения бюджетных ассигнований у Комитета по финансам администрации Тулунского муниципального района-99,7%, Комитета  по культуре, молодежной политике и спорту администрации Тулунского муниципального района -99,5%; Комитета  по образованию администрации Тулунского муниципального района -99,2%.</w:t>
      </w:r>
    </w:p>
    <w:p>
      <w:pPr>
        <w:pStyle w:val="Normal"/>
        <w:ind w:firstLine="360" w:right="27"/>
        <w:rPr/>
      </w:pPr>
      <w:r>
        <w:rPr>
          <w:sz w:val="25"/>
          <w:szCs w:val="25"/>
          <w:shd w:fill="FFFFFF" w:val="clear"/>
        </w:rPr>
        <w:t xml:space="preserve">  </w:t>
      </w:r>
      <w:r>
        <w:rPr>
          <w:sz w:val="25"/>
          <w:szCs w:val="25"/>
          <w:shd w:fill="FFFFFF" w:val="clear"/>
        </w:rPr>
        <w:t>Расходы бюджета в разрезе разделов функциональной классификации расходов бюджетов Российской Федерации характеризуются  следующими показателями:</w:t>
      </w:r>
      <w:r>
        <w:rPr>
          <w:sz w:val="25"/>
          <w:szCs w:val="25"/>
        </w:rPr>
        <w:t xml:space="preserve"> </w:t>
      </w:r>
    </w:p>
    <w:p>
      <w:pPr>
        <w:pStyle w:val="Normal"/>
        <w:ind w:hanging="0" w:left="-567" w:right="27"/>
        <w:jc w:val="right"/>
        <w:rPr>
          <w:sz w:val="25"/>
          <w:szCs w:val="25"/>
        </w:rPr>
      </w:pPr>
      <w:r>
        <w:rPr>
          <w:sz w:val="25"/>
          <w:szCs w:val="25"/>
        </w:rPr>
        <w:t>(тыс. руб.)</w:t>
      </w:r>
    </w:p>
    <w:tbl>
      <w:tblPr>
        <w:tblW w:w="9525" w:type="dxa"/>
        <w:jc w:val="left"/>
        <w:tblInd w:w="-20" w:type="dxa"/>
        <w:tblLayout w:type="fixed"/>
        <w:tblCellMar>
          <w:top w:w="0" w:type="dxa"/>
          <w:left w:w="108" w:type="dxa"/>
          <w:bottom w:w="0" w:type="dxa"/>
          <w:right w:w="108" w:type="dxa"/>
        </w:tblCellMar>
        <w:tblLook w:firstRow="1" w:noVBand="1" w:lastRow="0" w:firstColumn="1" w:lastColumn="0" w:noHBand="0" w:val="04a0"/>
      </w:tblPr>
      <w:tblGrid>
        <w:gridCol w:w="3512"/>
        <w:gridCol w:w="1653"/>
        <w:gridCol w:w="1412"/>
        <w:gridCol w:w="846"/>
        <w:gridCol w:w="1194"/>
        <w:gridCol w:w="907"/>
      </w:tblGrid>
      <w:tr>
        <w:trPr>
          <w:trHeight w:val="263" w:hRule="atLeast"/>
        </w:trPr>
        <w:tc>
          <w:tcPr>
            <w:tcW w:w="351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Наименование</w:t>
            </w:r>
          </w:p>
          <w:p>
            <w:pPr>
              <w:pStyle w:val="Normal"/>
              <w:widowControl w:val="false"/>
              <w:ind w:hanging="0" w:right="176"/>
              <w:jc w:val="center"/>
              <w:rPr>
                <w:b/>
                <w:bCs/>
                <w:sz w:val="20"/>
                <w:szCs w:val="20"/>
              </w:rPr>
            </w:pPr>
            <w:r>
              <w:rPr>
                <w:b/>
                <w:bCs/>
                <w:sz w:val="20"/>
                <w:szCs w:val="20"/>
              </w:rPr>
              <w:t>показателя</w:t>
            </w:r>
          </w:p>
        </w:tc>
        <w:tc>
          <w:tcPr>
            <w:tcW w:w="16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План</w:t>
            </w:r>
          </w:p>
          <w:p>
            <w:pPr>
              <w:pStyle w:val="Normal"/>
              <w:widowControl w:val="false"/>
              <w:ind w:hanging="0" w:right="176"/>
              <w:jc w:val="center"/>
              <w:rPr>
                <w:b/>
                <w:bCs/>
                <w:sz w:val="20"/>
                <w:szCs w:val="20"/>
              </w:rPr>
            </w:pPr>
            <w:r>
              <w:rPr>
                <w:b/>
                <w:bCs/>
                <w:sz w:val="20"/>
                <w:szCs w:val="20"/>
              </w:rPr>
              <w:t>2025 год</w:t>
            </w:r>
          </w:p>
          <w:p>
            <w:pPr>
              <w:pStyle w:val="Normal"/>
              <w:widowControl w:val="false"/>
              <w:ind w:hanging="0" w:right="176"/>
              <w:jc w:val="center"/>
              <w:rPr>
                <w:b/>
                <w:bCs/>
                <w:sz w:val="20"/>
                <w:szCs w:val="20"/>
              </w:rPr>
            </w:pPr>
            <w:r>
              <w:rPr>
                <w:b/>
                <w:bCs/>
                <w:sz w:val="20"/>
                <w:szCs w:val="20"/>
              </w:rPr>
            </w:r>
          </w:p>
        </w:tc>
        <w:tc>
          <w:tcPr>
            <w:tcW w:w="225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Исполнение</w:t>
            </w:r>
          </w:p>
          <w:p>
            <w:pPr>
              <w:pStyle w:val="Normal"/>
              <w:widowControl w:val="false"/>
              <w:ind w:hanging="0" w:right="176"/>
              <w:jc w:val="center"/>
              <w:rPr>
                <w:b/>
                <w:bCs/>
                <w:sz w:val="20"/>
                <w:szCs w:val="20"/>
              </w:rPr>
            </w:pPr>
            <w:r>
              <w:rPr>
                <w:b/>
                <w:bCs/>
                <w:sz w:val="20"/>
                <w:szCs w:val="20"/>
              </w:rPr>
              <w:t>2025 год</w:t>
            </w:r>
          </w:p>
        </w:tc>
        <w:tc>
          <w:tcPr>
            <w:tcW w:w="1194" w:type="dxa"/>
            <w:vMerge w:val="restart"/>
            <w:tcBorders>
              <w:top w:val="single" w:sz="4" w:space="0" w:color="000000"/>
              <w:left w:val="single" w:sz="4" w:space="0" w:color="000000"/>
              <w:bottom w:val="single" w:sz="4" w:space="0" w:color="000000"/>
            </w:tcBorders>
            <w:vAlign w:val="center"/>
          </w:tcPr>
          <w:p>
            <w:pPr>
              <w:pStyle w:val="Normal"/>
              <w:widowControl w:val="false"/>
              <w:ind w:hanging="0" w:right="176"/>
              <w:jc w:val="center"/>
              <w:rPr>
                <w:b/>
                <w:bCs/>
                <w:sz w:val="20"/>
                <w:szCs w:val="20"/>
              </w:rPr>
            </w:pPr>
            <w:r>
              <w:rPr>
                <w:b/>
                <w:bCs/>
                <w:sz w:val="20"/>
                <w:szCs w:val="20"/>
              </w:rPr>
              <w:t>отклонение</w:t>
            </w:r>
          </w:p>
          <w:p>
            <w:pPr>
              <w:pStyle w:val="Normal"/>
              <w:widowControl w:val="false"/>
              <w:ind w:hanging="0" w:right="176"/>
              <w:jc w:val="center"/>
              <w:rPr>
                <w:b/>
                <w:bCs/>
                <w:sz w:val="20"/>
                <w:szCs w:val="20"/>
              </w:rPr>
            </w:pPr>
            <w:r>
              <w:rPr>
                <w:b/>
                <w:bCs/>
                <w:sz w:val="20"/>
                <w:szCs w:val="20"/>
              </w:rPr>
              <w:t>(сумма)</w:t>
            </w:r>
          </w:p>
        </w:tc>
        <w:tc>
          <w:tcPr>
            <w:tcW w:w="90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r>
          </w:p>
          <w:p>
            <w:pPr>
              <w:pStyle w:val="Normal"/>
              <w:widowControl w:val="false"/>
              <w:ind w:hanging="0" w:right="176"/>
              <w:jc w:val="center"/>
              <w:rPr>
                <w:b/>
                <w:bCs/>
                <w:sz w:val="20"/>
                <w:szCs w:val="20"/>
              </w:rPr>
            </w:pPr>
            <w:r>
              <w:rPr>
                <w:b/>
                <w:bCs/>
                <w:sz w:val="20"/>
                <w:szCs w:val="20"/>
              </w:rPr>
              <w:t>% исполнения</w:t>
            </w:r>
          </w:p>
        </w:tc>
      </w:tr>
      <w:tr>
        <w:trPr>
          <w:trHeight w:val="480" w:hRule="atLeast"/>
        </w:trPr>
        <w:tc>
          <w:tcPr>
            <w:tcW w:w="351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6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12" w:type="dxa"/>
            <w:tcBorders>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сумма</w:t>
            </w:r>
          </w:p>
        </w:tc>
        <w:tc>
          <w:tcPr>
            <w:tcW w:w="846" w:type="dxa"/>
            <w:tcBorders>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доля (%)</w:t>
            </w:r>
          </w:p>
        </w:tc>
        <w:tc>
          <w:tcPr>
            <w:tcW w:w="1194" w:type="dxa"/>
            <w:vMerge w:val="continue"/>
            <w:tcBorders>
              <w:top w:val="single" w:sz="4" w:space="0" w:color="000000"/>
              <w:left w:val="single" w:sz="4" w:space="0" w:color="000000"/>
              <w:bottom w:val="single" w:sz="4" w:space="0" w:color="000000"/>
            </w:tcBorders>
            <w:vAlign w:val="center"/>
          </w:tcPr>
          <w:p>
            <w:pPr>
              <w:pStyle w:val="Normal"/>
              <w:widowControl w:val="false"/>
              <w:rPr/>
            </w:pPr>
            <w:r>
              <w:rPr/>
            </w:r>
          </w:p>
        </w:tc>
        <w:tc>
          <w:tcPr>
            <w:tcW w:w="9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rHeight w:val="315"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1.Общегосударственные вопросы</w:t>
            </w:r>
          </w:p>
        </w:tc>
        <w:tc>
          <w:tcPr>
            <w:tcW w:w="1653"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136 320,9</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134 099,2</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6,0</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-2 221,7</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98,4</w:t>
            </w:r>
          </w:p>
        </w:tc>
      </w:tr>
      <w:tr>
        <w:trPr>
          <w:trHeight w:val="600"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2.Национальная безопасность и правоохранительная деятельность</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16 102,3</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16 092,5</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0.7</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- 9 ,8</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99,9</w:t>
            </w:r>
          </w:p>
        </w:tc>
      </w:tr>
      <w:tr>
        <w:trPr>
          <w:trHeight w:val="315"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3. Национальная экономика</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188 725,8</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181 324,0</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8,1</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-7 401,8</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96,1</w:t>
            </w:r>
          </w:p>
        </w:tc>
      </w:tr>
      <w:tr>
        <w:trPr>
          <w:trHeight w:val="448"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4.Жилищно-коммунальное хозяйство</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17 762,0</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17 454,9</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0,8</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-307,1</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98,3</w:t>
            </w:r>
          </w:p>
        </w:tc>
      </w:tr>
      <w:tr>
        <w:trPr>
          <w:trHeight w:val="285"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5. Охрана окружающей среды</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5 882,5</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575,4</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0.1</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-5 307,1</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9,8</w:t>
            </w:r>
          </w:p>
        </w:tc>
      </w:tr>
      <w:tr>
        <w:trPr>
          <w:trHeight w:val="315"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6.Образование</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1 471 698,0</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1 460 406,0</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65,0</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-11 292,0</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99,2</w:t>
            </w:r>
          </w:p>
        </w:tc>
      </w:tr>
      <w:tr>
        <w:trPr>
          <w:trHeight w:val="315"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7. Культура, кинематография</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75 486,3</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74 709,0</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3,3</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-777,3</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99,0</w:t>
            </w:r>
          </w:p>
        </w:tc>
      </w:tr>
      <w:tr>
        <w:trPr>
          <w:trHeight w:val="315"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8. Здравоохранение</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jc w:val="center"/>
              <w:rPr>
                <w:color w:val="000000"/>
                <w:sz w:val="20"/>
                <w:szCs w:val="20"/>
              </w:rPr>
            </w:pPr>
            <w:r>
              <w:rPr>
                <w:color w:val="000000"/>
                <w:sz w:val="20"/>
                <w:szCs w:val="20"/>
              </w:rPr>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r>
          </w:p>
        </w:tc>
      </w:tr>
      <w:tr>
        <w:trPr>
          <w:trHeight w:val="315"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9. Социальная политика</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27 886,9</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27 786,9</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1,2</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-100,0</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99,6</w:t>
            </w:r>
          </w:p>
        </w:tc>
      </w:tr>
      <w:tr>
        <w:trPr>
          <w:trHeight w:val="315"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10. Физическая культура и спорт</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682,6</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682,6</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0.1</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0</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100,0</w:t>
            </w:r>
          </w:p>
        </w:tc>
      </w:tr>
      <w:tr>
        <w:trPr>
          <w:trHeight w:val="503"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11. Средства массовой информации</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2 672,8</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2672,8</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0.1</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0</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100,0</w:t>
            </w:r>
          </w:p>
        </w:tc>
      </w:tr>
      <w:tr>
        <w:trPr>
          <w:trHeight w:val="780"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12. Обслуживание государственного (муниципального) долга</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112,0</w:t>
            </w:r>
          </w:p>
        </w:tc>
        <w:tc>
          <w:tcPr>
            <w:tcW w:w="1412" w:type="dxa"/>
            <w:tcBorders>
              <w:top w:val="single" w:sz="4" w:space="0" w:color="000000"/>
              <w:bottom w:val="single" w:sz="4" w:space="0" w:color="000000"/>
              <w:right w:val="single" w:sz="4" w:space="0" w:color="000000"/>
            </w:tcBorders>
            <w:vAlign w:val="bottom"/>
          </w:tcPr>
          <w:p>
            <w:pPr>
              <w:pStyle w:val="Normal"/>
              <w:widowControl w:val="false"/>
              <w:jc w:val="center"/>
              <w:rPr>
                <w:sz w:val="20"/>
                <w:szCs w:val="20"/>
              </w:rPr>
            </w:pPr>
            <w:r>
              <w:rPr>
                <w:sz w:val="20"/>
                <w:szCs w:val="20"/>
              </w:rPr>
              <w:t>15,5</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0.0</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-96,5</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13,8</w:t>
            </w:r>
          </w:p>
        </w:tc>
      </w:tr>
      <w:tr>
        <w:trPr>
          <w:trHeight w:val="698"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13. Межбюджетные трансферты общего характера бюджетам бюджетной системы Российской Федерации</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326 414,1</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326 414,1</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14,6</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0.0</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sz w:val="20"/>
                <w:szCs w:val="20"/>
              </w:rPr>
            </w:pPr>
            <w:r>
              <w:rPr>
                <w:sz w:val="20"/>
                <w:szCs w:val="20"/>
              </w:rPr>
              <w:t>100</w:t>
            </w:r>
          </w:p>
        </w:tc>
      </w:tr>
      <w:tr>
        <w:trPr>
          <w:trHeight w:val="315"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b/>
                <w:bCs/>
                <w:sz w:val="20"/>
                <w:szCs w:val="20"/>
              </w:rPr>
            </w:pPr>
            <w:r>
              <w:rPr>
                <w:b/>
                <w:bCs/>
                <w:sz w:val="20"/>
                <w:szCs w:val="20"/>
              </w:rPr>
              <w:t>Итого расходов</w:t>
            </w:r>
          </w:p>
        </w:tc>
        <w:tc>
          <w:tcPr>
            <w:tcW w:w="16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2 269 746,2</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2 242 232,9</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b/>
                <w:bCs/>
                <w:sz w:val="20"/>
                <w:szCs w:val="20"/>
              </w:rPr>
            </w:pPr>
            <w:r>
              <w:rPr>
                <w:b/>
                <w:bCs/>
                <w:sz w:val="20"/>
                <w:szCs w:val="20"/>
              </w:rPr>
              <w:t>100.0</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b/>
                <w:bCs/>
                <w:sz w:val="20"/>
                <w:szCs w:val="20"/>
              </w:rPr>
            </w:pPr>
            <w:r>
              <w:rPr>
                <w:b/>
                <w:bCs/>
                <w:sz w:val="20"/>
                <w:szCs w:val="20"/>
              </w:rPr>
              <w:t>-27 513,3</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b/>
                <w:bCs/>
                <w:sz w:val="20"/>
                <w:szCs w:val="20"/>
              </w:rPr>
            </w:pPr>
            <w:r>
              <w:rPr>
                <w:b/>
                <w:bCs/>
                <w:sz w:val="20"/>
                <w:szCs w:val="20"/>
              </w:rPr>
              <w:t>98,8</w:t>
            </w:r>
          </w:p>
        </w:tc>
      </w:tr>
      <w:tr>
        <w:trPr>
          <w:trHeight w:val="315"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В том числе:</w:t>
            </w:r>
          </w:p>
        </w:tc>
        <w:tc>
          <w:tcPr>
            <w:tcW w:w="1653" w:type="dxa"/>
            <w:tcBorders>
              <w:top w:val="single" w:sz="4" w:space="0" w:color="000000"/>
              <w:bottom w:val="single" w:sz="4" w:space="0" w:color="000000"/>
              <w:right w:val="single" w:sz="4" w:space="0" w:color="000000"/>
            </w:tcBorders>
            <w:vAlign w:val="bottom"/>
          </w:tcPr>
          <w:p>
            <w:pPr>
              <w:pStyle w:val="Normal"/>
              <w:widowControl w:val="false"/>
              <w:snapToGrid w:val="false"/>
              <w:jc w:val="center"/>
              <w:rPr>
                <w:sz w:val="20"/>
                <w:szCs w:val="20"/>
              </w:rPr>
            </w:pPr>
            <w:r>
              <w:rPr>
                <w:sz w:val="20"/>
                <w:szCs w:val="20"/>
              </w:rPr>
            </w:r>
          </w:p>
        </w:tc>
        <w:tc>
          <w:tcPr>
            <w:tcW w:w="1412" w:type="dxa"/>
            <w:tcBorders>
              <w:top w:val="single" w:sz="4" w:space="0" w:color="000000"/>
              <w:bottom w:val="single" w:sz="4" w:space="0" w:color="000000"/>
            </w:tcBorders>
            <w:vAlign w:val="bottom"/>
          </w:tcPr>
          <w:p>
            <w:pPr>
              <w:pStyle w:val="Normal"/>
              <w:widowControl w:val="false"/>
              <w:snapToGrid w:val="false"/>
              <w:jc w:val="center"/>
              <w:rPr>
                <w:sz w:val="20"/>
                <w:szCs w:val="20"/>
              </w:rPr>
            </w:pPr>
            <w:r>
              <w:rPr>
                <w:sz w:val="20"/>
                <w:szCs w:val="20"/>
              </w:rPr>
            </w:r>
          </w:p>
        </w:tc>
        <w:tc>
          <w:tcPr>
            <w:tcW w:w="84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napToGrid w:val="false"/>
              <w:jc w:val="center"/>
              <w:rPr>
                <w:sz w:val="20"/>
                <w:szCs w:val="20"/>
              </w:rPr>
            </w:pPr>
            <w:r>
              <w:rPr>
                <w:sz w:val="20"/>
                <w:szCs w:val="20"/>
              </w:rPr>
            </w:r>
          </w:p>
        </w:tc>
        <w:tc>
          <w:tcPr>
            <w:tcW w:w="1194" w:type="dxa"/>
            <w:tcBorders>
              <w:top w:val="single" w:sz="4" w:space="0" w:color="000000"/>
              <w:bottom w:val="single" w:sz="4" w:space="0" w:color="000000"/>
              <w:right w:val="single" w:sz="4" w:space="0" w:color="000000"/>
            </w:tcBorders>
            <w:vAlign w:val="bottom"/>
          </w:tcPr>
          <w:p>
            <w:pPr>
              <w:pStyle w:val="Normal"/>
              <w:widowControl w:val="false"/>
              <w:snapToGrid w:val="false"/>
              <w:jc w:val="center"/>
              <w:rPr>
                <w:sz w:val="20"/>
                <w:szCs w:val="20"/>
              </w:rPr>
            </w:pPr>
            <w:r>
              <w:rPr>
                <w:sz w:val="20"/>
                <w:szCs w:val="20"/>
              </w:rPr>
            </w:r>
          </w:p>
        </w:tc>
        <w:tc>
          <w:tcPr>
            <w:tcW w:w="907" w:type="dxa"/>
            <w:tcBorders>
              <w:top w:val="single" w:sz="4" w:space="0" w:color="000000"/>
              <w:bottom w:val="single" w:sz="4" w:space="0" w:color="000000"/>
              <w:right w:val="single" w:sz="4" w:space="0" w:color="000000"/>
            </w:tcBorders>
            <w:vAlign w:val="bottom"/>
          </w:tcPr>
          <w:p>
            <w:pPr>
              <w:pStyle w:val="Normal"/>
              <w:widowControl w:val="false"/>
              <w:snapToGrid w:val="false"/>
              <w:jc w:val="center"/>
              <w:rPr>
                <w:sz w:val="20"/>
                <w:szCs w:val="20"/>
              </w:rPr>
            </w:pPr>
            <w:r>
              <w:rPr>
                <w:sz w:val="20"/>
                <w:szCs w:val="20"/>
              </w:rPr>
            </w:r>
          </w:p>
        </w:tc>
      </w:tr>
      <w:tr>
        <w:trPr>
          <w:trHeight w:val="480" w:hRule="atLeast"/>
        </w:trPr>
        <w:tc>
          <w:tcPr>
            <w:tcW w:w="3512" w:type="dxa"/>
            <w:tcBorders>
              <w:left w:val="single" w:sz="4" w:space="0" w:color="000000"/>
              <w:bottom w:val="single" w:sz="4" w:space="0" w:color="000000"/>
              <w:right w:val="single" w:sz="4" w:space="0" w:color="000000"/>
            </w:tcBorders>
            <w:vAlign w:val="center"/>
          </w:tcPr>
          <w:p>
            <w:pPr>
              <w:pStyle w:val="Normal"/>
              <w:widowControl w:val="false"/>
              <w:jc w:val="left"/>
              <w:rPr>
                <w:sz w:val="20"/>
                <w:szCs w:val="20"/>
              </w:rPr>
            </w:pPr>
            <w:r>
              <w:rPr>
                <w:sz w:val="20"/>
                <w:szCs w:val="20"/>
              </w:rPr>
              <w:t>на социально - культурную сферу</w:t>
            </w:r>
          </w:p>
        </w:tc>
        <w:tc>
          <w:tcPr>
            <w:tcW w:w="1653"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1 575 753,8</w:t>
            </w:r>
          </w:p>
        </w:tc>
        <w:tc>
          <w:tcPr>
            <w:tcW w:w="1412"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1 563 584,5</w:t>
            </w:r>
          </w:p>
        </w:tc>
        <w:tc>
          <w:tcPr>
            <w:tcW w:w="846"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69,7</w:t>
            </w:r>
          </w:p>
        </w:tc>
        <w:tc>
          <w:tcPr>
            <w:tcW w:w="1194"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-18 355.7</w:t>
            </w:r>
          </w:p>
        </w:tc>
        <w:tc>
          <w:tcPr>
            <w:tcW w:w="907" w:type="dxa"/>
            <w:tcBorders>
              <w:top w:val="single" w:sz="4" w:space="0" w:color="000000"/>
              <w:bottom w:val="single" w:sz="4" w:space="0" w:color="000000"/>
              <w:right w:val="single" w:sz="4" w:space="0" w:color="000000"/>
            </w:tcBorders>
            <w:vAlign w:val="bottom"/>
          </w:tcPr>
          <w:p>
            <w:pPr>
              <w:pStyle w:val="Normal"/>
              <w:widowControl w:val="false"/>
              <w:ind w:hanging="0" w:right="176"/>
              <w:jc w:val="center"/>
              <w:rPr>
                <w:color w:val="000000"/>
                <w:sz w:val="20"/>
                <w:szCs w:val="20"/>
              </w:rPr>
            </w:pPr>
            <w:r>
              <w:rPr>
                <w:color w:val="000000"/>
                <w:sz w:val="20"/>
                <w:szCs w:val="20"/>
              </w:rPr>
              <w:t>99,2</w:t>
            </w:r>
          </w:p>
        </w:tc>
      </w:tr>
    </w:tbl>
    <w:p>
      <w:pPr>
        <w:pStyle w:val="Normal"/>
        <w:rPr/>
      </w:pPr>
      <w:r>
        <w:rPr/>
      </w:r>
    </w:p>
    <w:p>
      <w:pPr>
        <w:pStyle w:val="Normal"/>
        <w:tabs>
          <w:tab w:val="clear" w:pos="720"/>
          <w:tab w:val="left" w:pos="709" w:leader="none"/>
          <w:tab w:val="left" w:pos="1080" w:leader="none"/>
        </w:tabs>
        <w:ind w:hanging="0" w:right="0"/>
        <w:rPr>
          <w:sz w:val="25"/>
          <w:szCs w:val="25"/>
        </w:rPr>
      </w:pPr>
      <w:r>
        <w:rPr>
          <w:sz w:val="25"/>
          <w:szCs w:val="25"/>
        </w:rPr>
        <w:tab/>
        <w:t>Анализ расходов по разделам функциональной классификации расходов показал следующее:</w:t>
      </w:r>
    </w:p>
    <w:p>
      <w:pPr>
        <w:pStyle w:val="Normal"/>
        <w:tabs>
          <w:tab w:val="clear" w:pos="720"/>
          <w:tab w:val="left" w:pos="709" w:leader="none"/>
          <w:tab w:val="left" w:pos="1080" w:leader="none"/>
        </w:tabs>
        <w:ind w:hanging="0" w:right="0"/>
        <w:jc w:val="center"/>
        <w:rPr>
          <w:b/>
          <w:sz w:val="25"/>
          <w:szCs w:val="25"/>
          <w:u w:val="single"/>
        </w:rPr>
      </w:pPr>
      <w:r>
        <w:rPr>
          <w:b/>
          <w:sz w:val="25"/>
          <w:szCs w:val="25"/>
          <w:u w:val="single"/>
        </w:rPr>
        <w:t>По разделу 01 «Общегосударственные вопросы»</w:t>
      </w:r>
    </w:p>
    <w:p>
      <w:pPr>
        <w:pStyle w:val="Normal"/>
        <w:tabs>
          <w:tab w:val="clear" w:pos="720"/>
          <w:tab w:val="left" w:pos="709" w:leader="none"/>
          <w:tab w:val="left" w:pos="1080" w:leader="none"/>
        </w:tabs>
        <w:ind w:hanging="0" w:right="0"/>
        <w:jc w:val="center"/>
        <w:rPr/>
      </w:pPr>
      <w:r>
        <w:rPr/>
      </w:r>
    </w:p>
    <w:p>
      <w:pPr>
        <w:pStyle w:val="Normal"/>
        <w:ind w:firstLine="709" w:right="176"/>
        <w:rPr>
          <w:sz w:val="25"/>
          <w:szCs w:val="25"/>
        </w:rPr>
      </w:pPr>
      <w:r>
        <w:rPr>
          <w:sz w:val="25"/>
          <w:szCs w:val="25"/>
        </w:rPr>
        <w:t>Определение объёма расходов на муниципальное управление осуществлялось в соответствии с действующей структурой исполнительного и представительного органов муниципальной власти.</w:t>
      </w:r>
    </w:p>
    <w:p>
      <w:pPr>
        <w:pStyle w:val="Normal"/>
        <w:ind w:firstLine="567" w:right="27"/>
        <w:rPr/>
      </w:pPr>
      <w:r>
        <w:rPr>
          <w:sz w:val="25"/>
          <w:szCs w:val="25"/>
        </w:rPr>
        <w:t>Объём расходов в данном направлении за 2025 год составил 134 099,2 тыс. руб. при плане</w:t>
      </w:r>
      <w:r>
        <w:rPr/>
        <w:t xml:space="preserve"> </w:t>
      </w:r>
      <w:r>
        <w:rPr>
          <w:color w:val="000000"/>
        </w:rPr>
        <w:t>136 320,9</w:t>
      </w:r>
      <w:r>
        <w:rPr>
          <w:sz w:val="25"/>
          <w:szCs w:val="25"/>
        </w:rPr>
        <w:t xml:space="preserve"> тыс. руб. Экономия сложилась в сумме </w:t>
      </w:r>
      <w:r>
        <w:rPr/>
        <w:t>2 221,</w:t>
      </w:r>
      <w:r>
        <w:rPr>
          <w:sz w:val="20"/>
          <w:szCs w:val="20"/>
        </w:rPr>
        <w:t>7</w:t>
      </w:r>
      <w:r>
        <w:rPr>
          <w:sz w:val="25"/>
          <w:szCs w:val="25"/>
        </w:rPr>
        <w:t xml:space="preserve"> тыс. руб., в том числе:</w:t>
      </w:r>
    </w:p>
    <w:p>
      <w:pPr>
        <w:pStyle w:val="Normal"/>
        <w:tabs>
          <w:tab w:val="left" w:pos="720" w:leader="none"/>
        </w:tabs>
        <w:ind w:hanging="0" w:right="176"/>
        <w:rPr/>
      </w:pPr>
      <w:r>
        <w:rPr>
          <w:rFonts w:eastAsia="Courier New"/>
          <w:color w:val="000000"/>
          <w:sz w:val="25"/>
          <w:szCs w:val="25"/>
        </w:rPr>
        <w:t xml:space="preserve">- по р.п. 0102 «Функционирование высшего должностного лица субъекта Российской Федерации и </w:t>
      </w:r>
      <w:r>
        <w:rPr>
          <w:color w:val="1A1A1A"/>
          <w:sz w:val="25"/>
          <w:szCs w:val="25"/>
        </w:rPr>
        <w:t>муниципального образования</w:t>
      </w:r>
      <w:r>
        <w:rPr>
          <w:color w:val="000000"/>
          <w:sz w:val="25"/>
          <w:szCs w:val="25"/>
        </w:rPr>
        <w:t xml:space="preserve">» </w:t>
      </w:r>
      <w:r>
        <w:rPr>
          <w:rFonts w:eastAsia="Courier New"/>
          <w:color w:val="000000"/>
          <w:sz w:val="25"/>
          <w:szCs w:val="25"/>
        </w:rPr>
        <w:t>– не использованы средства в сумме 120,7 тыс. руб., в связи с выплатой заработной платы с начислениями на нее за декабрь месяц в объеме поступивших средств местного бюджета.</w:t>
      </w:r>
    </w:p>
    <w:p>
      <w:pPr>
        <w:pStyle w:val="Normal"/>
        <w:tabs>
          <w:tab w:val="left" w:pos="720" w:leader="none"/>
        </w:tabs>
        <w:ind w:hanging="0" w:right="176"/>
        <w:rPr/>
      </w:pPr>
      <w:r>
        <w:rPr>
          <w:rFonts w:eastAsia="Courier New"/>
          <w:color w:val="000000"/>
          <w:sz w:val="25"/>
          <w:szCs w:val="25"/>
        </w:rPr>
        <w:t>- по р.п. 0103 «</w:t>
      </w:r>
      <w:r>
        <w:rPr>
          <w:rFonts w:eastAsia="Courier New"/>
          <w:color w:val="1A1A1A"/>
          <w:sz w:val="25"/>
          <w:szCs w:val="25"/>
        </w:rPr>
        <w:t xml:space="preserve">Функционирование законодательных (представительных) органов государственной власти и </w:t>
      </w:r>
      <w:r>
        <w:rPr>
          <w:color w:val="1A1A1A"/>
          <w:sz w:val="25"/>
          <w:szCs w:val="25"/>
        </w:rPr>
        <w:t>представительных органов муниципальных образований</w:t>
      </w:r>
      <w:r>
        <w:rPr>
          <w:color w:val="000000"/>
          <w:sz w:val="25"/>
          <w:szCs w:val="25"/>
        </w:rPr>
        <w:t xml:space="preserve">» </w:t>
      </w:r>
      <w:r>
        <w:rPr>
          <w:rFonts w:eastAsia="Courier New"/>
          <w:color w:val="000000"/>
          <w:sz w:val="25"/>
          <w:szCs w:val="25"/>
        </w:rPr>
        <w:t xml:space="preserve">– не использованы средства в сумме 115,9 тыс. руб. </w:t>
      </w:r>
      <w:r>
        <w:rPr>
          <w:color w:val="000000"/>
          <w:sz w:val="25"/>
          <w:szCs w:val="25"/>
        </w:rPr>
        <w:t>в связи с выплатой заработной платы с начислениями на нее за декабрь месяц в объеме поступивших средств местного бюджета</w:t>
      </w:r>
      <w:r>
        <w:rPr>
          <w:iCs/>
          <w:color w:val="000000"/>
          <w:sz w:val="25"/>
          <w:szCs w:val="25"/>
          <w:shd w:fill="FFFFFF" w:val="clear"/>
        </w:rPr>
        <w:t>.</w:t>
      </w:r>
    </w:p>
    <w:p>
      <w:pPr>
        <w:pStyle w:val="Normal"/>
        <w:tabs>
          <w:tab w:val="left" w:pos="720" w:leader="none"/>
        </w:tabs>
        <w:ind w:hanging="0" w:right="176"/>
        <w:rPr/>
      </w:pPr>
      <w:r>
        <w:rPr>
          <w:rFonts w:eastAsia="Courier New"/>
          <w:color w:val="000000"/>
          <w:sz w:val="25"/>
          <w:szCs w:val="25"/>
        </w:rPr>
        <w:t xml:space="preserve">- по р.п. 0104 «Функционирование Правительства Российской Федерации, </w:t>
      </w:r>
      <w:r>
        <w:rPr>
          <w:color w:val="000000"/>
          <w:sz w:val="25"/>
          <w:szCs w:val="25"/>
        </w:rPr>
        <w:t xml:space="preserve">высших исполнительных органов государственной власти субъектов Российской Федерации, местных администраций» </w:t>
      </w:r>
      <w:r>
        <w:rPr>
          <w:rFonts w:eastAsia="Courier New"/>
          <w:color w:val="000000"/>
          <w:sz w:val="25"/>
          <w:szCs w:val="25"/>
        </w:rPr>
        <w:t xml:space="preserve">– не использованы средства в сумме 831,3 тыс. руб., в том числе основные суммы: в сумме 31,3 тыс. руб. </w:t>
      </w:r>
      <w:r>
        <w:rPr>
          <w:color w:val="000000"/>
          <w:sz w:val="25"/>
          <w:szCs w:val="25"/>
        </w:rPr>
        <w:t xml:space="preserve">в связи с выплатой заработной платы с начислениями на нее за декабрь месяц в объеме поступивших средств местного бюджета, </w:t>
      </w:r>
      <w:r>
        <w:rPr>
          <w:rFonts w:eastAsia="Courier New"/>
          <w:color w:val="000000"/>
          <w:sz w:val="25"/>
          <w:szCs w:val="25"/>
        </w:rPr>
        <w:t xml:space="preserve">в сумме 269,5 тыс. руб. в связи с оплатой коммунальных услуг в объеме поступивших средств местного бюджета; в сумме 220,9тыс. руб. в связи с оплатой расходов по приобретению ГСМ  по представленным документам на оплату; </w:t>
      </w:r>
      <w:r>
        <w:rPr>
          <w:color w:val="000000"/>
          <w:sz w:val="25"/>
          <w:szCs w:val="25"/>
        </w:rPr>
        <w:t>в сумме 47,5</w:t>
      </w:r>
      <w:r>
        <w:rPr>
          <w:rFonts w:eastAsia="Courier New"/>
          <w:color w:val="000000"/>
          <w:sz w:val="25"/>
          <w:szCs w:val="25"/>
        </w:rPr>
        <w:t>тыс. руб.</w:t>
      </w:r>
      <w:r>
        <w:rPr>
          <w:color w:val="000000"/>
          <w:sz w:val="25"/>
          <w:szCs w:val="25"/>
        </w:rPr>
        <w:t xml:space="preserve"> в связи с оплатой услуг связи </w:t>
      </w:r>
      <w:r>
        <w:rPr>
          <w:rFonts w:eastAsia="Courier New"/>
          <w:color w:val="000000"/>
          <w:sz w:val="25"/>
          <w:szCs w:val="25"/>
        </w:rPr>
        <w:t xml:space="preserve">по представленным документам на оплату; </w:t>
      </w:r>
      <w:r>
        <w:rPr>
          <w:color w:val="000000"/>
          <w:sz w:val="25"/>
          <w:szCs w:val="25"/>
        </w:rPr>
        <w:t xml:space="preserve">в сумме 239,5 тыс.руб. </w:t>
      </w:r>
      <w:r>
        <w:rPr>
          <w:rFonts w:eastAsia="Courier New"/>
          <w:color w:val="000000"/>
          <w:sz w:val="25"/>
          <w:szCs w:val="25"/>
        </w:rPr>
        <w:t xml:space="preserve">в связи с оплатой  за фактически выполненные услуги по вневедомственной охране здания Администрации   по представленным документам на оплату. </w:t>
      </w:r>
    </w:p>
    <w:p>
      <w:pPr>
        <w:pStyle w:val="Normal"/>
        <w:tabs>
          <w:tab w:val="left" w:pos="720" w:leader="none"/>
        </w:tabs>
        <w:ind w:hanging="0" w:right="176"/>
        <w:rPr/>
      </w:pPr>
      <w:r>
        <w:rPr>
          <w:rFonts w:eastAsia="Courier New"/>
          <w:color w:val="000000"/>
          <w:sz w:val="25"/>
          <w:szCs w:val="25"/>
        </w:rPr>
        <w:t xml:space="preserve">- по р.п. 0106 «Обеспечение деятельности финансовых, налоговых и </w:t>
      </w:r>
      <w:r>
        <w:rPr>
          <w:color w:val="000000"/>
          <w:sz w:val="25"/>
          <w:szCs w:val="25"/>
        </w:rPr>
        <w:t xml:space="preserve">таможенных органов и органов финансового (финансово-бюджетного) надзора» </w:t>
      </w:r>
      <w:r>
        <w:rPr>
          <w:rFonts w:eastAsia="Courier New"/>
          <w:color w:val="000000"/>
          <w:sz w:val="25"/>
          <w:szCs w:val="25"/>
        </w:rPr>
        <w:t>– н</w:t>
      </w:r>
      <w:r>
        <w:rPr>
          <w:color w:val="000000"/>
          <w:sz w:val="25"/>
          <w:szCs w:val="25"/>
        </w:rPr>
        <w:t>е использованы средства в сумме 134,8 ты</w:t>
      </w:r>
      <w:r>
        <w:rPr>
          <w:rFonts w:eastAsia="Courier New"/>
          <w:color w:val="000000"/>
          <w:sz w:val="25"/>
          <w:szCs w:val="25"/>
          <w:shd w:fill="FFFFFF" w:val="clear"/>
        </w:rPr>
        <w:t>с. руб</w:t>
      </w:r>
      <w:r>
        <w:rPr>
          <w:color w:val="000000"/>
          <w:sz w:val="25"/>
          <w:szCs w:val="25"/>
        </w:rPr>
        <w:t xml:space="preserve">., </w:t>
      </w:r>
      <w:r>
        <w:rPr>
          <w:rFonts w:eastAsia="Courier New"/>
          <w:color w:val="000000"/>
          <w:sz w:val="25"/>
          <w:szCs w:val="25"/>
        </w:rPr>
        <w:t xml:space="preserve">в том числе: </w:t>
      </w:r>
      <w:r>
        <w:rPr>
          <w:color w:val="000000"/>
          <w:sz w:val="25"/>
          <w:szCs w:val="25"/>
        </w:rPr>
        <w:t xml:space="preserve">в сумме 111,2 </w:t>
      </w:r>
      <w:r>
        <w:rPr>
          <w:rFonts w:eastAsia="Courier New"/>
          <w:color w:val="000000"/>
          <w:sz w:val="25"/>
          <w:szCs w:val="25"/>
        </w:rPr>
        <w:t>тыс. руб.</w:t>
      </w:r>
      <w:r>
        <w:rPr>
          <w:color w:val="000000"/>
          <w:sz w:val="25"/>
          <w:szCs w:val="25"/>
        </w:rPr>
        <w:t xml:space="preserve"> в связи с выплатой заработной платы с начислениями на нее за декабрь месяц в объеме поступивших средств местного бюджета;  в сумме 23,6 </w:t>
      </w:r>
      <w:r>
        <w:rPr>
          <w:rFonts w:eastAsia="Courier New"/>
          <w:color w:val="000000"/>
          <w:sz w:val="25"/>
          <w:szCs w:val="25"/>
        </w:rPr>
        <w:t>тыс. руб.</w:t>
      </w:r>
      <w:r>
        <w:rPr>
          <w:color w:val="000000"/>
          <w:sz w:val="25"/>
          <w:szCs w:val="25"/>
        </w:rPr>
        <w:t xml:space="preserve"> на оплату услуг по сопровождению автоматизированной системы «АЦК-Финансы» в связи с тем, что оплата услуг производится поэтапно, по факту сдачи-приемки услуг</w:t>
      </w:r>
      <w:r>
        <w:rPr>
          <w:color w:val="000000"/>
          <w:w w:val="105"/>
          <w:sz w:val="25"/>
          <w:szCs w:val="25"/>
          <w:shd w:fill="FFFFFF" w:val="clear"/>
          <w:lang w:eastAsia="en-US"/>
        </w:rPr>
        <w:t>.</w:t>
      </w:r>
    </w:p>
    <w:p>
      <w:pPr>
        <w:pStyle w:val="Normal"/>
        <w:tabs>
          <w:tab w:val="left" w:pos="720" w:leader="none"/>
        </w:tabs>
        <w:ind w:hanging="0" w:right="176"/>
        <w:rPr>
          <w:rFonts w:eastAsia="Courier New"/>
          <w:color w:val="000000"/>
          <w:sz w:val="25"/>
          <w:szCs w:val="25"/>
        </w:rPr>
      </w:pPr>
      <w:r>
        <w:rPr>
          <w:rFonts w:eastAsia="Courier New"/>
          <w:color w:val="000000"/>
          <w:sz w:val="25"/>
          <w:szCs w:val="25"/>
        </w:rPr>
        <w:t>- по р.п. 0111 «Резервные фонды» – не использованы средства резервного фонда района в сумме 1 000,1 тыс. руб. в связи с отсутствием необходимости.</w:t>
      </w:r>
    </w:p>
    <w:p>
      <w:pPr>
        <w:pStyle w:val="Normal"/>
        <w:tabs>
          <w:tab w:val="left" w:pos="720" w:leader="none"/>
        </w:tabs>
        <w:ind w:hanging="0" w:right="176"/>
        <w:rPr/>
      </w:pPr>
      <w:r>
        <w:rPr>
          <w:rFonts w:eastAsia="Courier New"/>
          <w:color w:val="000000"/>
          <w:sz w:val="25"/>
          <w:szCs w:val="25"/>
        </w:rPr>
        <w:t>- по р.п. 0113 «</w:t>
      </w:r>
      <w:r>
        <w:rPr>
          <w:rFonts w:eastAsia="Courier New"/>
          <w:color w:val="1A1A1A"/>
          <w:sz w:val="25"/>
          <w:szCs w:val="25"/>
        </w:rPr>
        <w:t>Другие общегосударственные вопросы</w:t>
      </w:r>
      <w:r>
        <w:rPr>
          <w:rFonts w:eastAsia="Courier New"/>
          <w:color w:val="000000"/>
          <w:sz w:val="25"/>
          <w:szCs w:val="25"/>
        </w:rPr>
        <w:t>» – не использованы средства в сумме 18,7 тыс. руб., в том числе основные суммы: в сумме 16,4 тыс. руб.</w:t>
      </w:r>
      <w:r>
        <w:rPr>
          <w:rFonts w:eastAsia="Courier New"/>
          <w:color w:val="000000"/>
          <w:sz w:val="28"/>
          <w:szCs w:val="28"/>
        </w:rPr>
        <w:t xml:space="preserve"> в связи с оплатой работ, услуг по содержанию имущества по представленным документам на оплату; </w:t>
      </w:r>
      <w:r>
        <w:rPr>
          <w:color w:val="000000"/>
        </w:rPr>
        <w:t xml:space="preserve"> в  сумме 2,3 тыс. руб. в связи с оплатой услуг связи в объеме предъявленных документов на оплату.</w:t>
      </w:r>
    </w:p>
    <w:p>
      <w:pPr>
        <w:pStyle w:val="Normal"/>
        <w:tabs>
          <w:tab w:val="left" w:pos="720" w:leader="none"/>
        </w:tabs>
        <w:ind w:hanging="0" w:right="176"/>
        <w:rPr/>
      </w:pPr>
      <w:r>
        <w:rPr>
          <w:rFonts w:eastAsia="Courier New"/>
          <w:color w:val="000000"/>
          <w:sz w:val="25"/>
          <w:szCs w:val="25"/>
          <w:shd w:fill="FFFFFF" w:val="clear"/>
        </w:rPr>
        <w:t xml:space="preserve">  </w:t>
      </w:r>
      <w:r>
        <w:rPr>
          <w:sz w:val="25"/>
          <w:szCs w:val="25"/>
        </w:rPr>
        <w:t>В структуру расходов по общегосударственным вопросам входят расходы на содержание мэра Тулунского муниципального района, Думы, Администрации муниципального района,  Контрольно-счетной палаты,  Комитета по финансам,  Комитета по управлению муниципальным имуществом, резервный фонд, составление списков присяжных заседателей</w:t>
      </w:r>
      <w:r>
        <w:rPr>
          <w:rFonts w:eastAsia="Courier New"/>
          <w:color w:val="000000"/>
          <w:sz w:val="25"/>
          <w:szCs w:val="25"/>
        </w:rPr>
        <w:t xml:space="preserve"> </w:t>
      </w:r>
      <w:r>
        <w:rPr>
          <w:sz w:val="25"/>
          <w:szCs w:val="25"/>
        </w:rPr>
        <w:t xml:space="preserve">и другие общегосударственные вопросы. </w:t>
      </w:r>
    </w:p>
    <w:p>
      <w:pPr>
        <w:pStyle w:val="Normal"/>
        <w:tabs>
          <w:tab w:val="clear" w:pos="720"/>
          <w:tab w:val="left" w:pos="709" w:leader="none"/>
          <w:tab w:val="left" w:pos="1080" w:leader="none"/>
        </w:tabs>
        <w:ind w:hanging="0" w:right="0"/>
        <w:rPr>
          <w:sz w:val="25"/>
          <w:szCs w:val="25"/>
        </w:rPr>
      </w:pPr>
      <w:r>
        <w:rPr>
          <w:sz w:val="25"/>
          <w:szCs w:val="25"/>
        </w:rPr>
        <w:t xml:space="preserve">   </w:t>
      </w:r>
      <w:r>
        <w:rPr>
          <w:sz w:val="25"/>
          <w:szCs w:val="25"/>
        </w:rPr>
        <w:t>Бюджетные ассигнования по подразделу 0102 «Функционирование высшего должностного лица субъекта РФ и муниципального образования» утверждены в сумме 4 479,8 тыс. руб. Кассовые расходы исполнены в сумме 4 359,0 тыс. руб. или 97,3% к уточненному плану.</w:t>
      </w:r>
    </w:p>
    <w:p>
      <w:pPr>
        <w:pStyle w:val="Normal"/>
        <w:tabs>
          <w:tab w:val="clear" w:pos="720"/>
          <w:tab w:val="left" w:pos="709" w:leader="none"/>
          <w:tab w:val="left" w:pos="1080" w:leader="none"/>
        </w:tabs>
        <w:ind w:hanging="0" w:right="0"/>
        <w:rPr>
          <w:sz w:val="25"/>
          <w:szCs w:val="25"/>
        </w:rPr>
      </w:pPr>
      <w:r>
        <w:rPr>
          <w:sz w:val="25"/>
          <w:szCs w:val="25"/>
        </w:rPr>
        <w:t xml:space="preserve">    </w:t>
      </w:r>
      <w:r>
        <w:rPr>
          <w:sz w:val="25"/>
          <w:szCs w:val="25"/>
        </w:rPr>
        <w:t xml:space="preserve">По подразделу 0103 «Функционирование законодательных (представительных) органов государственной власти и представительных органов муниципальных образований» утверждены расходы на функционирование Думы Тулунского муниципального района в сумме 2 193,5 тыс. руб. Кассовые расходы исполнены в сумме 2 077,6 тыс. руб. или 94,7% к уточненному плану. </w:t>
      </w:r>
    </w:p>
    <w:p>
      <w:pPr>
        <w:pStyle w:val="Normal"/>
        <w:tabs>
          <w:tab w:val="clear" w:pos="720"/>
          <w:tab w:val="left" w:pos="709" w:leader="none"/>
          <w:tab w:val="left" w:pos="1080" w:leader="none"/>
        </w:tabs>
        <w:ind w:hanging="0" w:right="0"/>
        <w:rPr>
          <w:sz w:val="25"/>
          <w:szCs w:val="25"/>
        </w:rPr>
      </w:pPr>
      <w:r>
        <w:rPr>
          <w:sz w:val="25"/>
          <w:szCs w:val="25"/>
        </w:rPr>
        <w:t xml:space="preserve">      </w:t>
      </w:r>
      <w:r>
        <w:rPr>
          <w:sz w:val="25"/>
          <w:szCs w:val="25"/>
        </w:rPr>
        <w:tab/>
        <w:t xml:space="preserve">По подразделу 0104 «Функционирование Правительства РФ, высших исполнительных органов государственной власти субъектов РФ, местных администраций» утверждены расходы на содержание Администрации Тулунского муниципального района в 2025 году в сумме 80 199,5 тыс. руб. Кассовые расходы исполнены в сумме 79 368,2 тыс. руб. или 99,0 % к уточненному плану. </w:t>
      </w:r>
    </w:p>
    <w:p>
      <w:pPr>
        <w:pStyle w:val="Normal"/>
        <w:tabs>
          <w:tab w:val="left" w:pos="720" w:leader="none"/>
        </w:tabs>
        <w:ind w:hanging="0" w:right="0"/>
        <w:rPr/>
      </w:pPr>
      <w:r>
        <w:rPr>
          <w:sz w:val="25"/>
          <w:szCs w:val="25"/>
        </w:rPr>
        <w:t xml:space="preserve">      </w:t>
      </w:r>
      <w:r>
        <w:rPr>
          <w:sz w:val="25"/>
          <w:szCs w:val="25"/>
        </w:rPr>
        <w:t>По подразделу</w:t>
      </w:r>
      <w:r>
        <w:rPr>
          <w:rFonts w:eastAsia="Courier New"/>
          <w:color w:val="000000"/>
          <w:sz w:val="25"/>
          <w:szCs w:val="25"/>
        </w:rPr>
        <w:t xml:space="preserve"> 0105 «Судебная система» утверждены  расходы на  составление списков присяжных заседателей в сумме 5,3тыс. руб. Кассовые расходы исполнены в сумме  5,3 тыс. руб. или 100,0%  к уточненному плану.</w:t>
      </w:r>
    </w:p>
    <w:p>
      <w:pPr>
        <w:pStyle w:val="Normal"/>
        <w:tabs>
          <w:tab w:val="clear" w:pos="720"/>
          <w:tab w:val="left" w:pos="709" w:leader="none"/>
          <w:tab w:val="left" w:pos="1080" w:leader="none"/>
        </w:tabs>
        <w:ind w:hanging="0" w:right="0"/>
        <w:rPr/>
      </w:pPr>
      <w:r>
        <w:rPr>
          <w:sz w:val="25"/>
          <w:szCs w:val="25"/>
        </w:rPr>
        <w:t xml:space="preserve">        </w:t>
      </w:r>
      <w:r>
        <w:rPr>
          <w:sz w:val="25"/>
          <w:szCs w:val="25"/>
        </w:rPr>
        <w:t xml:space="preserve">Расходы по подразделу 0106  «Обеспечение деятельности финансовых, налоговых и таможенных органов и органов финансового (финансово-бюджетного) надзора» утверждены в сумме </w:t>
      </w:r>
      <w:r>
        <w:rPr>
          <w:color w:val="000000"/>
          <w:sz w:val="25"/>
          <w:szCs w:val="25"/>
        </w:rPr>
        <w:t>38 305,1</w:t>
      </w:r>
      <w:r>
        <w:rPr>
          <w:sz w:val="25"/>
          <w:szCs w:val="25"/>
        </w:rPr>
        <w:t xml:space="preserve"> тыс. руб. Кассовые расходы исполнены в сумме 38 170,3 тыс. руб. или 99,6% к уточненному плану. На функционирование Контрольно-счетной палаты МО «Тулунский район» направлено 5 443,8 тыс. руб., Комитета по финансам администрации Тулунского района  32 726,5 тыс. руб.</w:t>
      </w:r>
    </w:p>
    <w:p>
      <w:pPr>
        <w:pStyle w:val="Normal"/>
        <w:tabs>
          <w:tab w:val="left" w:pos="720" w:leader="none"/>
        </w:tabs>
        <w:ind w:hanging="0" w:right="0"/>
        <w:rPr/>
      </w:pPr>
      <w:r>
        <w:rPr>
          <w:sz w:val="25"/>
          <w:szCs w:val="25"/>
        </w:rPr>
        <w:t xml:space="preserve">   </w:t>
      </w:r>
      <w:r>
        <w:rPr>
          <w:sz w:val="25"/>
          <w:szCs w:val="25"/>
        </w:rPr>
        <w:tab/>
        <w:t xml:space="preserve">По подразделу </w:t>
      </w:r>
      <w:r>
        <w:rPr>
          <w:rFonts w:eastAsia="Courier New"/>
          <w:color w:val="000000"/>
          <w:sz w:val="25"/>
          <w:szCs w:val="25"/>
        </w:rPr>
        <w:t>0111 «Резервные фонды» утверждены расходы на создание резервного фонда в сумме 1 000,1 тыс. руб. Бюджетные ассигнования по факту остались не востребованы.</w:t>
      </w:r>
    </w:p>
    <w:p>
      <w:pPr>
        <w:pStyle w:val="Normal"/>
        <w:tabs>
          <w:tab w:val="clear" w:pos="720"/>
          <w:tab w:val="left" w:pos="709" w:leader="none"/>
          <w:tab w:val="left" w:pos="1080" w:leader="none"/>
        </w:tabs>
        <w:ind w:hanging="0" w:right="0"/>
        <w:rPr/>
      </w:pPr>
      <w:r>
        <w:rPr>
          <w:rFonts w:eastAsia="Courier New"/>
          <w:color w:val="000000"/>
          <w:sz w:val="25"/>
          <w:szCs w:val="25"/>
        </w:rPr>
        <w:t xml:space="preserve">   </w:t>
      </w:r>
      <w:r>
        <w:rPr>
          <w:rFonts w:eastAsia="Courier New"/>
          <w:color w:val="000000"/>
          <w:sz w:val="25"/>
          <w:szCs w:val="25"/>
        </w:rPr>
        <w:t>П</w:t>
      </w:r>
      <w:r>
        <w:rPr>
          <w:sz w:val="25"/>
          <w:szCs w:val="25"/>
        </w:rPr>
        <w:t xml:space="preserve">о подразделу 0113 «Другие общегосударственные вопросы»  предусмотрены бюджетные ассигнования в сумме 9 439,9 тыс. руб. Кассовые расходы в 2025 году исполнены в сумме 9 421, 1 тыс. руб. или 99,8% к уточненному плану. </w:t>
      </w:r>
    </w:p>
    <w:p>
      <w:pPr>
        <w:pStyle w:val="Normal"/>
        <w:tabs>
          <w:tab w:val="left" w:pos="720" w:leader="none"/>
        </w:tabs>
        <w:ind w:hanging="0" w:right="176"/>
        <w:rPr/>
      </w:pPr>
      <w:r>
        <w:rPr>
          <w:rFonts w:eastAsia="Courier New"/>
          <w:color w:val="000000"/>
          <w:sz w:val="25"/>
          <w:szCs w:val="25"/>
        </w:rPr>
        <w:t xml:space="preserve">     </w:t>
      </w:r>
      <w:r>
        <w:rPr>
          <w:rFonts w:eastAsia="Courier New"/>
          <w:color w:val="000000"/>
          <w:sz w:val="25"/>
          <w:szCs w:val="25"/>
        </w:rPr>
        <w:t>Расходы на выплату заработной платы с начислениями на нее за 2025 год составили 116 785,3тыс. руб. или 87,1 % от общей суммы расходов по разделу 0100.</w:t>
      </w:r>
    </w:p>
    <w:p>
      <w:pPr>
        <w:pStyle w:val="Normal"/>
        <w:tabs>
          <w:tab w:val="clear" w:pos="720"/>
          <w:tab w:val="left" w:pos="709" w:leader="none"/>
          <w:tab w:val="left" w:pos="1080" w:leader="none"/>
        </w:tabs>
        <w:ind w:hanging="0" w:right="0"/>
        <w:rPr>
          <w:sz w:val="25"/>
          <w:szCs w:val="25"/>
        </w:rPr>
      </w:pPr>
      <w:r>
        <w:rPr>
          <w:sz w:val="25"/>
          <w:szCs w:val="25"/>
        </w:rPr>
      </w:r>
    </w:p>
    <w:p>
      <w:pPr>
        <w:pStyle w:val="Normal"/>
        <w:tabs>
          <w:tab w:val="clear" w:pos="720"/>
          <w:tab w:val="left" w:pos="705" w:leader="none"/>
        </w:tabs>
        <w:ind w:firstLine="360" w:right="27"/>
        <w:jc w:val="center"/>
        <w:rPr/>
      </w:pPr>
      <w:r>
        <w:rPr>
          <w:b/>
          <w:sz w:val="25"/>
          <w:szCs w:val="25"/>
          <w:u w:val="single"/>
        </w:rPr>
        <w:t>По разделу 03 «Национальная безопасность и правоохранительная деятельность»</w:t>
      </w:r>
    </w:p>
    <w:p>
      <w:pPr>
        <w:pStyle w:val="Normal"/>
        <w:tabs>
          <w:tab w:val="clear" w:pos="720"/>
          <w:tab w:val="left" w:pos="705" w:leader="none"/>
        </w:tabs>
        <w:ind w:firstLine="360" w:right="27"/>
        <w:jc w:val="center"/>
        <w:rPr>
          <w:b/>
          <w:sz w:val="25"/>
          <w:szCs w:val="25"/>
          <w:u w:val="single"/>
        </w:rPr>
      </w:pPr>
      <w:r>
        <w:rPr>
          <w:b/>
          <w:sz w:val="25"/>
          <w:szCs w:val="25"/>
          <w:u w:val="single"/>
        </w:rPr>
      </w:r>
    </w:p>
    <w:p>
      <w:pPr>
        <w:pStyle w:val="Normal"/>
        <w:numPr>
          <w:ilvl w:val="0"/>
          <w:numId w:val="5"/>
        </w:numPr>
        <w:tabs>
          <w:tab w:val="clear" w:pos="720"/>
          <w:tab w:val="left" w:pos="705" w:leader="none"/>
        </w:tabs>
        <w:ind w:hanging="340" w:left="0" w:right="227"/>
        <w:rPr/>
      </w:pPr>
      <w:r>
        <w:rPr>
          <w:color w:val="000000"/>
          <w:sz w:val="25"/>
          <w:szCs w:val="25"/>
        </w:rPr>
        <w:t xml:space="preserve">         </w:t>
      </w:r>
      <w:r>
        <w:rPr>
          <w:color w:val="000000"/>
          <w:sz w:val="25"/>
          <w:szCs w:val="25"/>
        </w:rPr>
        <w:t xml:space="preserve">На расходы по подразделу 0310 «Защита населения и территории от чрезвычайных ситуаций природного и техногенного характера, пожарная безопасность» предусмотрены бюджетные ассигнования в сумме 16 102,3 тыс. руб. Кассовые расходы в 2025 году составили в сумме 16 092,5 тыс. руб. или 99,9 % к уточненному плану. </w:t>
      </w:r>
    </w:p>
    <w:p>
      <w:pPr>
        <w:pStyle w:val="Normal"/>
        <w:numPr>
          <w:ilvl w:val="0"/>
          <w:numId w:val="5"/>
        </w:numPr>
        <w:tabs>
          <w:tab w:val="clear" w:pos="720"/>
          <w:tab w:val="left" w:pos="705" w:leader="none"/>
        </w:tabs>
        <w:ind w:hanging="340" w:left="0" w:right="227"/>
        <w:rPr/>
      </w:pPr>
      <w:r>
        <w:rPr>
          <w:color w:val="000000"/>
          <w:sz w:val="25"/>
          <w:szCs w:val="25"/>
        </w:rPr>
        <w:t xml:space="preserve">          </w:t>
      </w:r>
      <w:r>
        <w:rPr>
          <w:color w:val="000000"/>
          <w:sz w:val="25"/>
          <w:szCs w:val="25"/>
        </w:rPr>
        <w:t>Экономия сложилась в сумме 9,8 тыс. руб.</w:t>
      </w:r>
      <w:r>
        <w:rPr>
          <w:rFonts w:eastAsia="Courier New"/>
          <w:color w:val="000000"/>
          <w:sz w:val="25"/>
          <w:szCs w:val="25"/>
        </w:rPr>
        <w:t xml:space="preserve"> в связи с оплатой услуг связи в объеме предъявленных документов на оплату.</w:t>
      </w:r>
    </w:p>
    <w:p>
      <w:pPr>
        <w:pStyle w:val="Normal"/>
        <w:numPr>
          <w:ilvl w:val="0"/>
          <w:numId w:val="5"/>
        </w:numPr>
        <w:tabs>
          <w:tab w:val="clear" w:pos="720"/>
          <w:tab w:val="left" w:pos="705" w:leader="none"/>
        </w:tabs>
        <w:ind w:hanging="340" w:left="0" w:right="227"/>
        <w:rPr/>
      </w:pPr>
      <w:r>
        <w:rPr>
          <w:color w:val="000000"/>
          <w:sz w:val="25"/>
          <w:szCs w:val="25"/>
        </w:rPr>
        <w:t xml:space="preserve">        </w:t>
      </w:r>
      <w:r>
        <w:rPr>
          <w:color w:val="000000"/>
          <w:sz w:val="25"/>
          <w:szCs w:val="25"/>
        </w:rPr>
        <w:t>По подразделу 0310 «</w:t>
      </w:r>
      <w:r>
        <w:rPr>
          <w:rFonts w:eastAsia="Courier New"/>
          <w:color w:val="000000"/>
          <w:sz w:val="25"/>
          <w:szCs w:val="25"/>
        </w:rPr>
        <w:t>Защита населения и территории от чрезвычайных ситуаций природного и техногенного характера, пожарная безопасность</w:t>
      </w:r>
      <w:r>
        <w:rPr>
          <w:color w:val="000000"/>
          <w:sz w:val="25"/>
          <w:szCs w:val="25"/>
        </w:rPr>
        <w:t xml:space="preserve">» отражены расходы на содержание МКУ </w:t>
      </w:r>
      <w:r>
        <w:rPr>
          <w:rFonts w:eastAsia="Courier New"/>
          <w:color w:val="000000"/>
          <w:sz w:val="25"/>
          <w:szCs w:val="25"/>
        </w:rPr>
        <w:t>«Единая дежурная диспетчерская служба» Тулунского района, а также сумма 2 999,8 тыс. руб., выделенная за счет средств резервного фонда района на ф</w:t>
      </w:r>
      <w:r>
        <w:rPr>
          <w:sz w:val="25"/>
          <w:szCs w:val="25"/>
        </w:rPr>
        <w:t>инансирование расходов на ликвидацию последствий чрезвычайной ситуации, связанной с запасом топлива на котельных на оплату договоров по поставке топлива.</w:t>
      </w:r>
    </w:p>
    <w:p>
      <w:pPr>
        <w:pStyle w:val="Normal"/>
        <w:numPr>
          <w:ilvl w:val="0"/>
          <w:numId w:val="5"/>
        </w:numPr>
        <w:tabs>
          <w:tab w:val="left" w:pos="720" w:leader="none"/>
        </w:tabs>
        <w:ind w:hanging="0" w:left="0" w:right="176"/>
        <w:rPr/>
      </w:pPr>
      <w:r>
        <w:rPr>
          <w:rFonts w:eastAsia="Courier New"/>
          <w:color w:val="000000"/>
          <w:sz w:val="25"/>
          <w:szCs w:val="25"/>
        </w:rPr>
        <w:t xml:space="preserve">      </w:t>
      </w:r>
      <w:r>
        <w:rPr>
          <w:rFonts w:eastAsia="Courier New"/>
          <w:color w:val="000000"/>
          <w:sz w:val="25"/>
          <w:szCs w:val="25"/>
        </w:rPr>
        <w:t>Расходы на выплату заработной платы с начислениями на нее</w:t>
      </w:r>
      <w:r>
        <w:rPr>
          <w:rFonts w:eastAsia="Courier New"/>
          <w:color w:val="000000"/>
          <w:sz w:val="25"/>
          <w:szCs w:val="25"/>
          <w:shd w:fill="FFFFFF" w:val="clear"/>
        </w:rPr>
        <w:t xml:space="preserve"> за 2025 год составили 10 176,3 тыс. руб. или 63,2% от общей суммы расходов по разделу 0300.</w:t>
      </w:r>
      <w:r>
        <w:rPr>
          <w:color w:val="000000"/>
          <w:sz w:val="25"/>
          <w:szCs w:val="25"/>
        </w:rPr>
        <w:t xml:space="preserve">     </w:t>
      </w:r>
    </w:p>
    <w:p>
      <w:pPr>
        <w:pStyle w:val="Normal"/>
        <w:tabs>
          <w:tab w:val="clear" w:pos="720"/>
          <w:tab w:val="left" w:pos="705" w:leader="none"/>
        </w:tabs>
        <w:ind w:firstLine="360" w:right="27"/>
        <w:jc w:val="center"/>
        <w:rPr>
          <w:sz w:val="25"/>
          <w:szCs w:val="25"/>
        </w:rPr>
      </w:pPr>
      <w:r>
        <w:rPr>
          <w:sz w:val="25"/>
          <w:szCs w:val="25"/>
        </w:rPr>
      </w:r>
    </w:p>
    <w:p>
      <w:pPr>
        <w:pStyle w:val="Normal"/>
        <w:tabs>
          <w:tab w:val="clear" w:pos="720"/>
          <w:tab w:val="left" w:pos="705" w:leader="none"/>
        </w:tabs>
        <w:ind w:firstLine="360" w:right="27"/>
        <w:jc w:val="center"/>
        <w:rPr>
          <w:b/>
          <w:sz w:val="25"/>
          <w:szCs w:val="25"/>
          <w:u w:val="single"/>
        </w:rPr>
      </w:pPr>
      <w:r>
        <w:rPr>
          <w:b/>
          <w:sz w:val="25"/>
          <w:szCs w:val="25"/>
          <w:u w:val="single"/>
        </w:rPr>
        <w:t>По разделу 04 «Национальная экономика»</w:t>
      </w:r>
    </w:p>
    <w:p>
      <w:pPr>
        <w:pStyle w:val="Normal"/>
        <w:tabs>
          <w:tab w:val="clear" w:pos="720"/>
          <w:tab w:val="left" w:pos="705" w:leader="none"/>
        </w:tabs>
        <w:ind w:firstLine="360" w:right="27"/>
        <w:jc w:val="center"/>
        <w:rPr>
          <w:sz w:val="25"/>
          <w:szCs w:val="25"/>
        </w:rPr>
      </w:pPr>
      <w:r>
        <w:rPr>
          <w:sz w:val="25"/>
          <w:szCs w:val="25"/>
        </w:rPr>
      </w:r>
    </w:p>
    <w:p>
      <w:pPr>
        <w:pStyle w:val="Normal"/>
        <w:ind w:firstLine="709" w:right="176"/>
        <w:rPr/>
      </w:pPr>
      <w:r>
        <w:rPr>
          <w:sz w:val="25"/>
          <w:szCs w:val="25"/>
        </w:rPr>
        <w:t xml:space="preserve">По указанному разделу отражены расходы на содержание </w:t>
      </w:r>
      <w:r>
        <w:rPr>
          <w:rFonts w:eastAsia="Courier New"/>
          <w:color w:val="000000"/>
          <w:sz w:val="25"/>
          <w:szCs w:val="25"/>
        </w:rPr>
        <w:t xml:space="preserve">Комитета по экономике и развитию предпринимательства администрации Тулунского муниципального района, </w:t>
      </w:r>
      <w:r>
        <w:rPr>
          <w:sz w:val="25"/>
          <w:szCs w:val="25"/>
        </w:rPr>
        <w:t>Комитета по строительству, дорожному хозяйству администрации Тулунского муниципального района,</w:t>
      </w:r>
      <w:r>
        <w:rPr>
          <w:rStyle w:val="FontStyle25"/>
          <w:rFonts w:eastAsia="Courier New"/>
          <w:color w:val="000000"/>
          <w:sz w:val="25"/>
          <w:szCs w:val="25"/>
        </w:rPr>
        <w:t xml:space="preserve"> </w:t>
      </w:r>
      <w:r>
        <w:rPr>
          <w:rFonts w:eastAsia="Courier New"/>
          <w:color w:val="000000"/>
          <w:sz w:val="25"/>
          <w:szCs w:val="25"/>
        </w:rPr>
        <w:t>Комитета по жилищно-коммунальному хозяйству, транспорту и связи администрации Тулунского муниципального района</w:t>
      </w:r>
      <w:r>
        <w:rPr>
          <w:sz w:val="25"/>
          <w:szCs w:val="25"/>
        </w:rPr>
        <w:t>, расходы дорожного фонда, а также другие вопросы в области национальной экономики.</w:t>
      </w:r>
    </w:p>
    <w:p>
      <w:pPr>
        <w:pStyle w:val="Normal"/>
        <w:ind w:firstLine="709" w:right="176"/>
        <w:rPr>
          <w:sz w:val="25"/>
          <w:szCs w:val="25"/>
        </w:rPr>
      </w:pPr>
      <w:r>
        <w:rPr>
          <w:sz w:val="25"/>
          <w:szCs w:val="25"/>
        </w:rPr>
        <w:t>Исполнение по данному разделу составило 181 323,9 тыс. руб. при плане 188 725,8 тыс. руб. Экономия сложилась в сумме 7 401,9 тыс. руб., в том числе:</w:t>
      </w:r>
    </w:p>
    <w:p>
      <w:pPr>
        <w:pStyle w:val="Normal"/>
        <w:tabs>
          <w:tab w:val="left" w:pos="720" w:leader="none"/>
        </w:tabs>
        <w:ind w:hanging="0" w:right="176"/>
        <w:rPr/>
      </w:pPr>
      <w:r>
        <w:rPr>
          <w:b/>
          <w:color w:val="000000"/>
          <w:sz w:val="25"/>
          <w:szCs w:val="25"/>
          <w:shd w:fill="FFFFFF" w:val="clear"/>
        </w:rPr>
        <w:t xml:space="preserve">-  </w:t>
      </w:r>
      <w:r>
        <w:rPr>
          <w:color w:val="000000"/>
          <w:sz w:val="25"/>
          <w:szCs w:val="25"/>
          <w:shd w:fill="FFFFFF" w:val="clear"/>
        </w:rPr>
        <w:t>по р.п. 0405 «Сельское хозяйство и рыболовство» - не использованы средства в сумме 204,1тыс. руб., из них наибольшие суммы:</w:t>
      </w:r>
      <w:r>
        <w:rPr>
          <w:color w:val="000000"/>
          <w:sz w:val="25"/>
          <w:szCs w:val="25"/>
        </w:rPr>
        <w:t xml:space="preserve"> в сумме 95,0 </w:t>
      </w:r>
      <w:r>
        <w:rPr>
          <w:color w:val="000000"/>
          <w:sz w:val="25"/>
          <w:szCs w:val="25"/>
          <w:shd w:fill="FFFFFF" w:val="clear"/>
        </w:rPr>
        <w:t xml:space="preserve">тыс. руб. в связи с оплатой расходов по приобретению ГСМ в объеме представленных документов на оплату; </w:t>
      </w:r>
      <w:r>
        <w:rPr>
          <w:color w:val="000000"/>
          <w:sz w:val="25"/>
          <w:szCs w:val="25"/>
        </w:rPr>
        <w:t xml:space="preserve">в сумме 56,4 тыс. руб. в связи с оплатой коммунальных услуг в объеме представленных документов на оплату; </w:t>
      </w:r>
      <w:r>
        <w:rPr>
          <w:color w:val="000000"/>
          <w:sz w:val="25"/>
          <w:szCs w:val="25"/>
          <w:shd w:fill="FFFFFF" w:val="clear"/>
        </w:rPr>
        <w:t xml:space="preserve">в сумме </w:t>
      </w:r>
      <w:r>
        <w:rPr>
          <w:color w:val="000000"/>
          <w:sz w:val="25"/>
          <w:szCs w:val="25"/>
        </w:rPr>
        <w:t>45,9 тыс. руб. в связи с выплатой заработной платы с начислениями на нее за декабрь месяц в объеме поступивших средств местного бюджета;</w:t>
      </w:r>
      <w:r>
        <w:rPr>
          <w:sz w:val="25"/>
          <w:szCs w:val="25"/>
        </w:rPr>
        <w:t xml:space="preserve"> в сумме 6,8 тыс.руб. на оплату услуг связи в объеме документов, поступивших на оплату. </w:t>
      </w:r>
    </w:p>
    <w:p>
      <w:pPr>
        <w:pStyle w:val="Normal"/>
        <w:tabs>
          <w:tab w:val="left" w:pos="720" w:leader="none"/>
        </w:tabs>
        <w:ind w:hanging="0" w:right="176"/>
        <w:rPr/>
      </w:pPr>
      <w:r>
        <w:rPr>
          <w:sz w:val="25"/>
          <w:szCs w:val="25"/>
        </w:rPr>
        <w:t>- по р.п. 0409 «Дорожное хозяйство (дорожные фонды)» – н</w:t>
      </w:r>
      <w:r>
        <w:rPr>
          <w:color w:val="000000"/>
          <w:sz w:val="25"/>
          <w:szCs w:val="25"/>
        </w:rPr>
        <w:t xml:space="preserve">е использованы бюджетные ассигнования в сумме 7 197,7 тыс. руб., </w:t>
      </w:r>
      <w:r>
        <w:rPr>
          <w:color w:val="000000"/>
          <w:sz w:val="25"/>
          <w:szCs w:val="25"/>
          <w:shd w:fill="FFFFFF" w:val="clear"/>
        </w:rPr>
        <w:t>из них наибольшие суммы: в сумме 6 959,0</w:t>
      </w:r>
      <w:r>
        <w:rPr>
          <w:color w:val="000000"/>
          <w:sz w:val="25"/>
          <w:szCs w:val="25"/>
        </w:rPr>
        <w:t xml:space="preserve"> тыс. руб. в связи с тем, что поступление доходов от уплаты акцизов на нефтепродукты поступают в доход бюджета ежемесячно в течение года, а ремонтные дорожные работы имеют сезонный характер проведения; в сумме 158,7 тыс. руб. на оплату за кадастровые работы земельных участков под автомобильными дорогами, оплата произведена  в объеме поступивших документов на оплату; в сумме 80,0 тыс. руб. на разработку паспорта обеспечения транспортной  безопасности, оплата произведена в объеме поступивших документов на оплату. Остаток средств дорожного фонда планируется использовать в 2026 году для ремонта и содержания автомобильных дорог.</w:t>
      </w:r>
    </w:p>
    <w:p>
      <w:pPr>
        <w:pStyle w:val="Normal"/>
        <w:ind w:firstLine="709" w:right="176"/>
        <w:rPr/>
      </w:pPr>
      <w:r>
        <w:rPr>
          <w:sz w:val="25"/>
          <w:szCs w:val="25"/>
        </w:rPr>
        <w:t xml:space="preserve">По подразделу 0401 «Общеэкономические вопросы» отражены расходы </w:t>
      </w:r>
      <w:r>
        <w:rPr>
          <w:rFonts w:eastAsia="Courier New"/>
          <w:color w:val="000000"/>
          <w:sz w:val="25"/>
          <w:szCs w:val="25"/>
        </w:rPr>
        <w:t>на обеспечение деятельности органов местного самоуправления, осуществляющих руководство и управление в сфере национальной экономики</w:t>
      </w:r>
      <w:r>
        <w:rPr>
          <w:sz w:val="25"/>
          <w:szCs w:val="25"/>
        </w:rPr>
        <w:t xml:space="preserve"> в сумме 12 914,7</w:t>
      </w:r>
      <w:r>
        <w:rPr>
          <w:b/>
          <w:sz w:val="25"/>
          <w:szCs w:val="25"/>
        </w:rPr>
        <w:t xml:space="preserve"> </w:t>
      </w:r>
      <w:r>
        <w:rPr>
          <w:sz w:val="25"/>
          <w:szCs w:val="25"/>
        </w:rPr>
        <w:t>тыс. руб.</w:t>
      </w:r>
    </w:p>
    <w:p>
      <w:pPr>
        <w:pStyle w:val="Normal"/>
        <w:ind w:firstLine="709" w:right="176"/>
        <w:rPr/>
      </w:pPr>
      <w:r>
        <w:rPr>
          <w:sz w:val="25"/>
          <w:szCs w:val="25"/>
        </w:rPr>
        <w:t>По подразделу 0405 «Сельское хозяйство и рыболовство» отражены расходы в сумме 11 013,8</w:t>
      </w:r>
      <w:r>
        <w:rPr>
          <w:b/>
          <w:sz w:val="25"/>
          <w:szCs w:val="25"/>
        </w:rPr>
        <w:t xml:space="preserve"> </w:t>
      </w:r>
      <w:r>
        <w:rPr>
          <w:sz w:val="25"/>
          <w:szCs w:val="25"/>
        </w:rPr>
        <w:t xml:space="preserve">тыс. руб. - на содержание Управления сельского хозяйства </w:t>
      </w:r>
      <w:r>
        <w:rPr>
          <w:rFonts w:eastAsia="Courier New"/>
          <w:color w:val="000000"/>
          <w:sz w:val="25"/>
          <w:szCs w:val="25"/>
        </w:rPr>
        <w:t>Комитета по экономике и развитию предпринимательства администрации Тулунского муниципального района.</w:t>
      </w:r>
    </w:p>
    <w:p>
      <w:pPr>
        <w:pStyle w:val="Normal"/>
        <w:ind w:firstLine="709" w:right="176"/>
        <w:rPr/>
      </w:pPr>
      <w:r>
        <w:rPr>
          <w:sz w:val="25"/>
          <w:szCs w:val="25"/>
        </w:rPr>
        <w:t xml:space="preserve">По подразделу 0409 «Дорожное хозяйство (дорожные фонды)» отражены расходы на реализацию мероприятий </w:t>
      </w:r>
      <w:bookmarkStart w:id="4" w:name="__DdeLink__12312_3760051582"/>
      <w:r>
        <w:rPr>
          <w:sz w:val="25"/>
          <w:szCs w:val="25"/>
        </w:rPr>
        <w:t xml:space="preserve">муниципальной программы </w:t>
      </w:r>
      <w:r>
        <w:rPr>
          <w:bCs/>
          <w:sz w:val="25"/>
          <w:szCs w:val="25"/>
        </w:rPr>
        <w:t>«Развитие инфраструктуры на территории Тулунского муниципального района» на 2021-2026гг.</w:t>
      </w:r>
      <w:bookmarkEnd w:id="4"/>
      <w:r>
        <w:rPr>
          <w:bCs/>
          <w:sz w:val="25"/>
          <w:szCs w:val="25"/>
        </w:rPr>
        <w:t xml:space="preserve"> подпрограммы </w:t>
      </w:r>
      <w:r>
        <w:rPr>
          <w:sz w:val="25"/>
          <w:szCs w:val="25"/>
        </w:rPr>
        <w:t>«Развитие и содержание автомобильных дорог местного значения вне границ населенных пунктов в границах Тулунского муниципального района» на 2021-2026гг., на ремонт и содержание действующей сети автомобильных дорог в сумме 50 532,4тыс. руб.</w:t>
      </w:r>
    </w:p>
    <w:p>
      <w:pPr>
        <w:pStyle w:val="Normal"/>
        <w:numPr>
          <w:ilvl w:val="0"/>
          <w:numId w:val="0"/>
        </w:numPr>
        <w:tabs>
          <w:tab w:val="clear" w:pos="720"/>
          <w:tab w:val="left" w:pos="1276" w:leader="none"/>
        </w:tabs>
        <w:ind w:firstLine="227" w:left="0" w:right="57"/>
        <w:outlineLvl w:val="0"/>
        <w:rPr/>
      </w:pPr>
      <w:r>
        <w:rPr>
          <w:sz w:val="25"/>
          <w:szCs w:val="25"/>
        </w:rPr>
        <w:t xml:space="preserve">  </w:t>
      </w:r>
      <w:r>
        <w:rPr>
          <w:sz w:val="25"/>
          <w:szCs w:val="25"/>
        </w:rPr>
        <w:t xml:space="preserve">По подразделу 0410 «Связь и информатика» расходы направлены </w:t>
      </w:r>
      <w:r>
        <w:rPr>
          <w:color w:val="000000"/>
          <w:sz w:val="25"/>
          <w:szCs w:val="25"/>
        </w:rPr>
        <w:t>на создание условий для обеспечения услугами связи малонаселенных населенных пунктов  в сумме 6 672,5 тыс. руб., что составляет 100,00% от плана.</w:t>
      </w:r>
    </w:p>
    <w:p>
      <w:pPr>
        <w:pStyle w:val="Normal"/>
        <w:numPr>
          <w:ilvl w:val="0"/>
          <w:numId w:val="0"/>
        </w:numPr>
        <w:ind w:firstLine="57" w:left="0" w:right="170"/>
        <w:outlineLvl w:val="0"/>
        <w:rPr/>
      </w:pPr>
      <w:r>
        <w:rPr>
          <w:sz w:val="25"/>
          <w:szCs w:val="25"/>
        </w:rPr>
        <w:t xml:space="preserve">     </w:t>
      </w:r>
      <w:r>
        <w:rPr>
          <w:sz w:val="25"/>
          <w:szCs w:val="25"/>
        </w:rPr>
        <w:t>По подразделу 0412 «Другие вопросы в области национальной экономики» расходы в сумме 100 190,6 тыс. руб. направлены:</w:t>
      </w:r>
    </w:p>
    <w:p>
      <w:pPr>
        <w:pStyle w:val="Normal"/>
        <w:numPr>
          <w:ilvl w:val="0"/>
          <w:numId w:val="0"/>
        </w:numPr>
        <w:ind w:firstLine="709" w:left="0" w:right="176"/>
        <w:outlineLvl w:val="0"/>
        <w:rPr/>
      </w:pPr>
      <w:r>
        <w:rPr>
          <w:sz w:val="25"/>
          <w:szCs w:val="25"/>
        </w:rPr>
        <w:t xml:space="preserve"> </w:t>
      </w:r>
      <w:r>
        <w:rPr>
          <w:sz w:val="25"/>
          <w:szCs w:val="25"/>
        </w:rPr>
        <w:t xml:space="preserve">- на содержание муниципального казённого учреждения «Обслуживающий центр» в сумме </w:t>
      </w:r>
      <w:r>
        <w:rPr>
          <w:color w:val="000000"/>
          <w:sz w:val="25"/>
          <w:szCs w:val="25"/>
        </w:rPr>
        <w:t>89 186,9</w:t>
      </w:r>
      <w:r>
        <w:rPr>
          <w:sz w:val="25"/>
          <w:szCs w:val="25"/>
          <w:shd w:fill="FFFFFF" w:val="clear"/>
        </w:rPr>
        <w:t xml:space="preserve"> </w:t>
      </w:r>
      <w:r>
        <w:rPr>
          <w:sz w:val="25"/>
          <w:szCs w:val="25"/>
        </w:rPr>
        <w:t xml:space="preserve">тыс. руб.; </w:t>
      </w:r>
    </w:p>
    <w:p>
      <w:pPr>
        <w:pStyle w:val="Normal"/>
        <w:numPr>
          <w:ilvl w:val="0"/>
          <w:numId w:val="0"/>
        </w:numPr>
        <w:ind w:hanging="0" w:left="0" w:right="176"/>
        <w:outlineLvl w:val="0"/>
        <w:rPr/>
      </w:pPr>
      <w:r>
        <w:rPr>
          <w:sz w:val="25"/>
          <w:szCs w:val="25"/>
          <w:shd w:fill="FFFFFF" w:val="clear"/>
        </w:rPr>
        <w:t>- на проведение  мероприятий муниципальной программы "Экономическое развитие Тулунского муниципального района" на 2021-2027 годы  по подпрограмме «Обеспечение деятельности мэра Тулунского муниципального района и Администрации Тулунского муниципального района на 2021-2027 годы»</w:t>
      </w:r>
      <w:r>
        <w:rPr>
          <w:sz w:val="25"/>
          <w:szCs w:val="25"/>
        </w:rPr>
        <w:t xml:space="preserve"> на содержание Комитета по жилищно-коммунальному хозяйству, транспорту и связи в сумме 8 586,0 тыс.руб., Ко</w:t>
      </w:r>
      <w:r>
        <w:rPr>
          <w:sz w:val="25"/>
          <w:szCs w:val="25"/>
          <w:shd w:fill="FFFFFF" w:val="clear"/>
        </w:rPr>
        <w:t>митета по строительству, дорожному хозяйству администрации Тулунского муниципального района в сумме 10 893,7 тыс. руб.;</w:t>
      </w:r>
    </w:p>
    <w:p>
      <w:pPr>
        <w:pStyle w:val="Normal"/>
        <w:numPr>
          <w:ilvl w:val="0"/>
          <w:numId w:val="0"/>
        </w:numPr>
        <w:ind w:hanging="0" w:left="0" w:right="176"/>
        <w:outlineLvl w:val="0"/>
        <w:rPr/>
      </w:pPr>
      <w:r>
        <w:rPr>
          <w:sz w:val="25"/>
          <w:szCs w:val="25"/>
          <w:shd w:fill="FFFFFF" w:val="clear"/>
        </w:rPr>
        <w:t xml:space="preserve">- на проведение  мероприятий муниципальной программы "Обеспечение комплексных мер безопасности  на территории Тулунского муниципального района" на 2021-2027 годы по подпрограмме «Создание условий для организации мероприятий по отлову и содержанию безнадзорных собак и кошек на территории  Тулунского муниципального района» на 2020-2027годы на осуществление  </w:t>
      </w:r>
      <w:r>
        <w:rPr>
          <w:color w:val="000000"/>
          <w:sz w:val="25"/>
          <w:szCs w:val="25"/>
          <w:shd w:fill="FFFFFF" w:val="clear"/>
        </w:rPr>
        <w:t xml:space="preserve"> отдельных</w:t>
      </w:r>
      <w:r>
        <w:rPr>
          <w:color w:val="000000"/>
          <w:sz w:val="25"/>
          <w:szCs w:val="25"/>
        </w:rPr>
        <w:t xml:space="preserve"> областных государственных полномочий по организации мероприятий при осуществлении деятельности по обращению с собаками и кошками без владельцев в сумме 98,0 тыс. руб.;</w:t>
      </w:r>
    </w:p>
    <w:p>
      <w:pPr>
        <w:pStyle w:val="Normal"/>
        <w:numPr>
          <w:ilvl w:val="0"/>
          <w:numId w:val="0"/>
        </w:numPr>
        <w:ind w:hanging="0" w:left="0" w:right="176"/>
        <w:outlineLvl w:val="0"/>
        <w:rPr/>
      </w:pPr>
      <w:r>
        <w:rPr>
          <w:color w:val="000000"/>
          <w:sz w:val="25"/>
          <w:szCs w:val="25"/>
        </w:rPr>
        <w:t>-</w:t>
      </w:r>
      <w:r>
        <w:rPr>
          <w:color w:val="000000"/>
          <w:sz w:val="25"/>
          <w:szCs w:val="25"/>
          <w:shd w:fill="FFFFFF" w:val="clear"/>
        </w:rPr>
        <w:t xml:space="preserve"> на проведение  мероприятий муниципальной программы "Развитие инфраструктуры на  территории Тулунского муниципального района" на 2021-2027 годы по подпрограмме « Корректировка  схемы территориального планирования Тулунского муниципального района, актуализация документов территориального планирования и градостроительного зонирования сельских поселений» на 2020-2027гг. на предоставление межбюджетных трансфертов на осуществление  части полномочий по ре</w:t>
      </w:r>
      <w:r>
        <w:rPr>
          <w:color w:val="000000"/>
          <w:sz w:val="25"/>
          <w:szCs w:val="25"/>
        </w:rPr>
        <w:t>шению вопросов местного значения бюджетам сельских  поселений  из бюджета района в соответствии с заключенными соглашениями  в сумме  12,0 тыс. руб.</w:t>
      </w:r>
    </w:p>
    <w:p>
      <w:pPr>
        <w:pStyle w:val="Normal"/>
        <w:tabs>
          <w:tab w:val="clear" w:pos="720"/>
          <w:tab w:val="left" w:pos="2160" w:leader="none"/>
        </w:tabs>
        <w:ind w:firstLine="709" w:right="176"/>
        <w:rPr/>
      </w:pPr>
      <w:r>
        <w:rPr>
          <w:sz w:val="25"/>
          <w:szCs w:val="25"/>
          <w:shd w:fill="FFFFFF" w:val="clear"/>
        </w:rPr>
        <w:t>Расходы на выплату заработной платы с начислениями на нее за 2025 год  составили 99 803,8 тыс. руб. или 99,6 % от общей суммы расходов по разделу 0400.</w:t>
      </w:r>
    </w:p>
    <w:p>
      <w:pPr>
        <w:pStyle w:val="Normal"/>
        <w:tabs>
          <w:tab w:val="clear" w:pos="720"/>
          <w:tab w:val="left" w:pos="2160" w:leader="none"/>
        </w:tabs>
        <w:ind w:firstLine="709" w:right="176"/>
        <w:rPr>
          <w:sz w:val="25"/>
          <w:szCs w:val="25"/>
        </w:rPr>
      </w:pPr>
      <w:r>
        <w:rPr>
          <w:sz w:val="25"/>
          <w:szCs w:val="25"/>
        </w:rPr>
      </w:r>
    </w:p>
    <w:p>
      <w:pPr>
        <w:pStyle w:val="Normal"/>
        <w:tabs>
          <w:tab w:val="clear" w:pos="720"/>
          <w:tab w:val="left" w:pos="705" w:leader="none"/>
        </w:tabs>
        <w:ind w:firstLine="360" w:right="27"/>
        <w:jc w:val="center"/>
        <w:rPr>
          <w:b/>
          <w:sz w:val="25"/>
          <w:szCs w:val="25"/>
          <w:u w:val="single"/>
        </w:rPr>
      </w:pPr>
      <w:r>
        <w:rPr>
          <w:b/>
          <w:sz w:val="25"/>
          <w:szCs w:val="25"/>
          <w:u w:val="single"/>
        </w:rPr>
        <w:t>По разделу 05 «Жилищно-коммунальное хозяйство»</w:t>
      </w:r>
    </w:p>
    <w:p>
      <w:pPr>
        <w:pStyle w:val="Normal"/>
        <w:tabs>
          <w:tab w:val="clear" w:pos="720"/>
          <w:tab w:val="left" w:pos="705" w:leader="none"/>
        </w:tabs>
        <w:ind w:firstLine="360" w:right="27"/>
        <w:jc w:val="center"/>
        <w:rPr>
          <w:sz w:val="25"/>
          <w:szCs w:val="25"/>
        </w:rPr>
      </w:pPr>
      <w:r>
        <w:rPr>
          <w:sz w:val="25"/>
          <w:szCs w:val="25"/>
        </w:rPr>
      </w:r>
    </w:p>
    <w:p>
      <w:pPr>
        <w:pStyle w:val="Normal"/>
        <w:shd w:val="clear" w:color="auto" w:fill="FFFFFF"/>
        <w:tabs>
          <w:tab w:val="clear" w:pos="720"/>
          <w:tab w:val="left" w:pos="705" w:leader="none"/>
        </w:tabs>
        <w:ind w:firstLine="709" w:right="176"/>
        <w:rPr/>
      </w:pPr>
      <w:r>
        <w:rPr>
          <w:sz w:val="25"/>
          <w:szCs w:val="25"/>
          <w:shd w:fill="FFFFFF" w:val="clear"/>
        </w:rPr>
        <w:t>По данному разделу исполнение составило 17 454,9 тыс. руб. или 98,3% к плановым назначениям (план – 17 767,9 тыс. руб.)</w:t>
      </w:r>
      <w:r>
        <w:rPr>
          <w:color w:val="000000"/>
          <w:sz w:val="25"/>
          <w:szCs w:val="25"/>
          <w:shd w:fill="FFFFFF" w:val="clear"/>
        </w:rPr>
        <w:t>.</w:t>
      </w:r>
    </w:p>
    <w:p>
      <w:pPr>
        <w:pStyle w:val="Normal"/>
        <w:tabs>
          <w:tab w:val="clear" w:pos="720"/>
          <w:tab w:val="left" w:pos="142" w:leader="none"/>
          <w:tab w:val="left" w:pos="1134" w:leader="none"/>
        </w:tabs>
        <w:ind w:hanging="0" w:right="176"/>
        <w:rPr/>
      </w:pPr>
      <w:r>
        <w:rPr>
          <w:color w:val="000000"/>
          <w:sz w:val="25"/>
          <w:szCs w:val="25"/>
          <w:shd w:fill="FFFFFF" w:val="clear"/>
        </w:rPr>
        <w:t xml:space="preserve">     </w:t>
      </w:r>
      <w:r>
        <w:rPr>
          <w:color w:val="000000"/>
          <w:shd w:fill="FFFFFF" w:val="clear"/>
        </w:rPr>
        <w:t xml:space="preserve"> </w:t>
      </w:r>
      <w:r>
        <w:rPr>
          <w:color w:val="000000"/>
          <w:shd w:fill="FFFFFF" w:val="clear"/>
        </w:rPr>
        <w:t>Не использованы бюджетные ассигнования в сумме 307,0 тыс. руб.</w:t>
      </w:r>
      <w:bookmarkStart w:id="5" w:name="_Hlk125633172"/>
      <w:r>
        <w:rPr>
          <w:color w:val="000000"/>
          <w:shd w:fill="FFFFFF" w:val="clear"/>
        </w:rPr>
        <w:t xml:space="preserve"> </w:t>
      </w:r>
      <w:r>
        <w:rPr>
          <w:rFonts w:eastAsia="Calibri"/>
          <w:bCs/>
          <w:color w:val="000000"/>
          <w:shd w:fill="FFFFFF" w:val="clear"/>
          <w:lang w:eastAsia="en-US"/>
        </w:rPr>
        <w:t>Э</w:t>
      </w:r>
      <w:r>
        <w:rPr>
          <w:rFonts w:eastAsia="Calibri"/>
          <w:color w:val="000000"/>
          <w:shd w:fill="FFFFFF" w:val="clear"/>
          <w:lang w:eastAsia="en-US"/>
        </w:rPr>
        <w:t xml:space="preserve">кономия средств сложилась:  в сумме 181, 6 тыс. руб. в связи с оплатой приобретения прочих материальных запасов по фактически представленным документам на оплату;  сумме 60,2 тыс. руб. в связи с оплатой за фактически оказанные коммунальные услуги по представленным документам на оплату; </w:t>
      </w:r>
      <w:r>
        <w:rPr>
          <w:color w:val="000000"/>
          <w:shd w:fill="FFFFFF" w:val="clear"/>
        </w:rPr>
        <w:t xml:space="preserve">в </w:t>
      </w:r>
      <w:r>
        <w:rPr>
          <w:shd w:fill="FFFFFF" w:val="clear"/>
        </w:rPr>
        <w:t xml:space="preserve">в сумме 46, 7 тыс. руб. в связи с оплатой за приобретение основных средств по представленным на оплату документам; </w:t>
      </w:r>
      <w:r>
        <w:rPr>
          <w:rFonts w:eastAsia="Calibri"/>
          <w:color w:val="000000"/>
          <w:shd w:fill="FFFFFF" w:val="clear"/>
          <w:lang w:eastAsia="en-US"/>
        </w:rPr>
        <w:t>в сумме 13,1 тыс. руб. на проведение мероприятий по благоустройству муниципальных образований Тулунского района , в связи с тем, что оплата услуг по уличному освещению производилась в объеме представленных документов на оплату;</w:t>
      </w:r>
      <w:r>
        <w:rPr>
          <w:shd w:fill="FFFFFF" w:val="clear"/>
        </w:rPr>
        <w:t xml:space="preserve"> </w:t>
      </w:r>
      <w:r>
        <w:rPr>
          <w:rFonts w:eastAsia="Calibri"/>
          <w:color w:val="000000"/>
          <w:shd w:fill="FFFFFF" w:val="clear"/>
          <w:lang w:eastAsia="en-US"/>
        </w:rPr>
        <w:t>в сумме 5,4 тыс. руб. в связи с оплатой работ, услуг по содержанию имущества в объеме представленных документов на оплату.</w:t>
      </w:r>
    </w:p>
    <w:p>
      <w:pPr>
        <w:pStyle w:val="Normal"/>
        <w:numPr>
          <w:ilvl w:val="0"/>
          <w:numId w:val="0"/>
        </w:numPr>
        <w:shd w:val="clear" w:color="auto" w:fill="FFFFFF"/>
        <w:tabs>
          <w:tab w:val="clear" w:pos="720"/>
          <w:tab w:val="left" w:pos="705" w:leader="none"/>
        </w:tabs>
        <w:ind w:firstLine="709" w:left="0" w:right="176"/>
        <w:outlineLvl w:val="0"/>
        <w:rPr>
          <w:sz w:val="25"/>
          <w:szCs w:val="25"/>
          <w:shd w:fill="FFFFFF" w:val="clear"/>
        </w:rPr>
      </w:pPr>
      <w:bookmarkStart w:id="6" w:name="_Hlk125633212"/>
      <w:bookmarkEnd w:id="5"/>
      <w:bookmarkEnd w:id="6"/>
      <w:r>
        <w:rPr>
          <w:sz w:val="25"/>
          <w:szCs w:val="25"/>
          <w:shd w:fill="FFFFFF" w:val="clear"/>
        </w:rPr>
        <w:t>По подразделу 0502 «Коммунальное хозяйство» расходы в сумме 17 454,9 тыс. руб. направлены:</w:t>
      </w:r>
    </w:p>
    <w:p>
      <w:pPr>
        <w:pStyle w:val="Cs66fe197"/>
        <w:tabs>
          <w:tab w:val="clear" w:pos="720"/>
          <w:tab w:val="left" w:pos="0" w:leader="none"/>
          <w:tab w:val="left" w:pos="993" w:leader="none"/>
        </w:tabs>
        <w:ind w:hanging="0" w:left="0" w:right="0"/>
        <w:rPr/>
      </w:pPr>
      <w:r>
        <w:rPr>
          <w:sz w:val="25"/>
          <w:szCs w:val="25"/>
        </w:rPr>
        <w:t xml:space="preserve">- </w:t>
      </w:r>
      <w:r>
        <w:rPr>
          <w:sz w:val="25"/>
          <w:szCs w:val="25"/>
          <w:shd w:fill="FFFFFF" w:val="clear"/>
        </w:rPr>
        <w:t>на м</w:t>
      </w:r>
      <w:r>
        <w:rPr>
          <w:sz w:val="25"/>
          <w:szCs w:val="25"/>
        </w:rPr>
        <w:t>одернизацию объектов теплоснабжения и подготовка к отопительному сезону объектов коммунальной инфраструктуры, находящихся в муниципальной собственности, сокращение потерь при передаче и потреблении энергетических ресурсов исполнено в сумме 3 974,6 тыс. руб.;</w:t>
      </w:r>
    </w:p>
    <w:p>
      <w:pPr>
        <w:pStyle w:val="Normal"/>
        <w:numPr>
          <w:ilvl w:val="0"/>
          <w:numId w:val="0"/>
        </w:numPr>
        <w:shd w:val="clear" w:color="auto" w:fill="FFFFFF"/>
        <w:tabs>
          <w:tab w:val="clear" w:pos="720"/>
          <w:tab w:val="left" w:pos="0" w:leader="none"/>
          <w:tab w:val="left" w:pos="993" w:leader="none"/>
        </w:tabs>
        <w:ind w:hanging="0" w:left="0" w:right="176"/>
        <w:outlineLvl w:val="0"/>
        <w:rPr>
          <w:sz w:val="25"/>
          <w:szCs w:val="25"/>
          <w:shd w:fill="FFFFFF" w:val="clear"/>
        </w:rPr>
      </w:pPr>
      <w:r>
        <w:rPr>
          <w:sz w:val="25"/>
          <w:szCs w:val="25"/>
          <w:shd w:fill="FFFFFF" w:val="clear"/>
        </w:rPr>
        <w:t>- на содержание водонапорных башен на территории Тулунского муниципального района в сумме 5343,1 тыс. руб. ;</w:t>
      </w:r>
    </w:p>
    <w:p>
      <w:pPr>
        <w:pStyle w:val="Normal"/>
        <w:numPr>
          <w:ilvl w:val="0"/>
          <w:numId w:val="0"/>
        </w:numPr>
        <w:shd w:val="clear" w:color="auto" w:fill="FFFFFF"/>
        <w:tabs>
          <w:tab w:val="clear" w:pos="720"/>
          <w:tab w:val="left" w:pos="0" w:leader="none"/>
          <w:tab w:val="left" w:pos="993" w:leader="none"/>
        </w:tabs>
        <w:ind w:hanging="0" w:left="0" w:right="176"/>
        <w:outlineLvl w:val="0"/>
        <w:rPr/>
      </w:pPr>
      <w:r>
        <w:rPr>
          <w:sz w:val="25"/>
          <w:szCs w:val="25"/>
          <w:shd w:fill="FFFFFF" w:val="clear"/>
        </w:rPr>
        <w:t xml:space="preserve">- </w:t>
      </w:r>
      <w:r>
        <w:rPr>
          <w:shd w:fill="FFFFFF" w:val="clear"/>
        </w:rPr>
        <w:t xml:space="preserve">на предоставление субсидий из местного бюджета для финансового обеспечения (возмещения) затрат, связанных с организацией и функционированием систем тепло- и водоснабжения населения, водоотведения в сумме </w:t>
      </w:r>
      <w:r>
        <w:rPr>
          <w:sz w:val="25"/>
          <w:szCs w:val="25"/>
          <w:shd w:fill="FFFFFF" w:val="clear"/>
        </w:rPr>
        <w:t>8 000,0 тыс. руб.</w:t>
      </w:r>
    </w:p>
    <w:p>
      <w:pPr>
        <w:pStyle w:val="Normal"/>
        <w:numPr>
          <w:ilvl w:val="0"/>
          <w:numId w:val="0"/>
        </w:numPr>
        <w:shd w:val="clear" w:color="auto" w:fill="FFFFFF"/>
        <w:tabs>
          <w:tab w:val="clear" w:pos="720"/>
          <w:tab w:val="left" w:pos="705" w:leader="none"/>
        </w:tabs>
        <w:ind w:firstLine="709" w:left="0" w:right="176"/>
        <w:outlineLvl w:val="0"/>
        <w:rPr/>
      </w:pPr>
      <w:bookmarkStart w:id="7" w:name="_Hlk1256332121"/>
      <w:bookmarkEnd w:id="7"/>
      <w:r>
        <w:rPr>
          <w:sz w:val="25"/>
          <w:szCs w:val="25"/>
        </w:rPr>
        <w:t>По подразделу 0503</w:t>
      </w:r>
      <w:r>
        <w:rPr/>
        <w:t xml:space="preserve"> «Благоустройство» рас</w:t>
      </w:r>
      <w:r>
        <w:rPr>
          <w:sz w:val="25"/>
          <w:szCs w:val="25"/>
        </w:rPr>
        <w:t xml:space="preserve">ходы в сумме 13,1 тыс. руб. направлены на </w:t>
      </w:r>
      <w:r>
        <w:rPr/>
        <w:t>осуществление органами местного самоуправления муниципального района полномочия по организации благоустройства территории поселения в части освещения территории поселения, за счет межбюджетных трансфертов бюджетам муниципальных районов на исполнение передаваемых полномочий сельских поселений в соответствии с заключенным соглашением ( Писаревское сельское поселение).</w:t>
      </w:r>
    </w:p>
    <w:p>
      <w:pPr>
        <w:pStyle w:val="Normal"/>
        <w:numPr>
          <w:ilvl w:val="0"/>
          <w:numId w:val="0"/>
        </w:numPr>
        <w:shd w:val="clear" w:color="auto" w:fill="FFFFFF"/>
        <w:tabs>
          <w:tab w:val="clear" w:pos="720"/>
          <w:tab w:val="left" w:pos="705" w:leader="none"/>
        </w:tabs>
        <w:ind w:firstLine="709" w:left="0" w:right="176"/>
        <w:outlineLvl w:val="0"/>
        <w:rPr>
          <w:sz w:val="25"/>
          <w:szCs w:val="25"/>
        </w:rPr>
      </w:pPr>
      <w:r>
        <w:rPr>
          <w:sz w:val="25"/>
          <w:szCs w:val="25"/>
        </w:rPr>
      </w:r>
    </w:p>
    <w:p>
      <w:pPr>
        <w:pStyle w:val="Normal"/>
        <w:ind w:firstLine="360" w:right="27"/>
        <w:jc w:val="center"/>
        <w:rPr>
          <w:b/>
          <w:sz w:val="25"/>
          <w:szCs w:val="25"/>
          <w:u w:val="single"/>
        </w:rPr>
      </w:pPr>
      <w:r>
        <w:rPr>
          <w:b/>
          <w:sz w:val="25"/>
          <w:szCs w:val="25"/>
          <w:u w:val="single"/>
        </w:rPr>
        <w:t>По разделу 06 «Охрана окружающей среды»</w:t>
      </w:r>
    </w:p>
    <w:p>
      <w:pPr>
        <w:pStyle w:val="Normal"/>
        <w:ind w:firstLine="360" w:right="27"/>
        <w:jc w:val="center"/>
        <w:rPr/>
      </w:pPr>
      <w:r>
        <w:rPr/>
      </w:r>
    </w:p>
    <w:p>
      <w:pPr>
        <w:pStyle w:val="Normal"/>
        <w:ind w:firstLine="709" w:right="176"/>
        <w:rPr/>
      </w:pPr>
      <w:r>
        <w:rPr>
          <w:sz w:val="25"/>
          <w:szCs w:val="25"/>
        </w:rPr>
        <w:t xml:space="preserve">Исполнение по данному разделу составило 575,4 тыс. руб. </w:t>
      </w:r>
      <w:r>
        <w:rPr>
          <w:sz w:val="25"/>
          <w:szCs w:val="25"/>
          <w:shd w:fill="FFFFFF" w:val="clear"/>
        </w:rPr>
        <w:t>или 9,8% к плану (</w:t>
      </w:r>
      <w:r>
        <w:rPr>
          <w:sz w:val="25"/>
          <w:szCs w:val="25"/>
        </w:rPr>
        <w:t xml:space="preserve">план 5 882,5 тыс. руб.) </w:t>
      </w:r>
      <w:r>
        <w:rPr>
          <w:shd w:fill="FFFFFF" w:val="clear"/>
        </w:rPr>
        <w:t xml:space="preserve">Экономия сложилась в сумме </w:t>
      </w:r>
      <w:r>
        <w:rPr>
          <w:color w:val="000000"/>
          <w:shd w:fill="FFFFFF" w:val="clear"/>
        </w:rPr>
        <w:t>5 307,1</w:t>
      </w:r>
      <w:r>
        <w:rPr>
          <w:shd w:fill="FFFFFF" w:val="clear"/>
        </w:rPr>
        <w:t xml:space="preserve"> тыс. руб.</w:t>
      </w:r>
      <w:r>
        <w:rPr>
          <w:color w:val="000000"/>
          <w:shd w:fill="FFFFFF" w:val="clear"/>
        </w:rPr>
        <w:t xml:space="preserve">, в том числе: </w:t>
      </w:r>
    </w:p>
    <w:p>
      <w:pPr>
        <w:pStyle w:val="Normal"/>
        <w:tabs>
          <w:tab w:val="clear" w:pos="720"/>
          <w:tab w:val="left" w:pos="1134" w:leader="none"/>
        </w:tabs>
        <w:ind w:hanging="0" w:right="176"/>
        <w:rPr/>
      </w:pPr>
      <w:r>
        <w:rPr>
          <w:color w:val="000000"/>
          <w:shd w:fill="FFFFFF" w:val="clear"/>
        </w:rPr>
        <w:t>- в сумме 4 902,5 тыс. руб. в связи с тем, что доходы от уплаты средств, определенных с 1 сентября 2022 года в соответствии со</w:t>
      </w:r>
      <w:r>
        <w:rPr>
          <w:color w:val="000000"/>
          <w:shd w:fill="FFFFFF" w:val="clear"/>
          <w:lang w:bidi="ru-RU"/>
        </w:rPr>
        <w:t xml:space="preserve"> статьями 16.6, 75.1, 78.2 Федерального закона от 10 января 2002 года №7-ФЗ «Об охране окружающей среды»</w:t>
      </w:r>
      <w:r>
        <w:rPr>
          <w:color w:val="000000"/>
          <w:shd w:fill="FFFFFF" w:val="clear"/>
        </w:rPr>
        <w:t xml:space="preserve"> поступают в доход бюджета ежемесячно в течение года, а работы по природоохранным мероприятиям имеют сезонный характер. Остаток средств планируется использовать в 2026 году; в сумме 404,6 тыс. руб. за счет средств субвенции, предоставляемой из областного бюджета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 по причине значительного снижения стоимости услуг по результатам аукционных мероприятий в сумме 262,2 тыс.руб. и в сумме 142,4 тыс.руб. в связи с </w:t>
      </w:r>
      <w:r>
        <w:rPr>
          <w:color w:val="000000"/>
          <w:spacing w:val="2"/>
          <w:shd w:fill="FFFFFF" w:val="clear"/>
        </w:rPr>
        <w:t>отсутствием денежных средств на едином счете областного бюджета не оплачены фактически выполненные работы по муниципальному контракту от 24.02.2025г. №2025.02 в соответствии с представленными документами на оплату.</w:t>
      </w:r>
    </w:p>
    <w:p>
      <w:pPr>
        <w:pStyle w:val="Normal"/>
        <w:tabs>
          <w:tab w:val="clear" w:pos="720"/>
          <w:tab w:val="left" w:pos="1080" w:leader="none"/>
        </w:tabs>
        <w:ind w:hanging="0" w:right="176"/>
        <w:rPr/>
      </w:pPr>
      <w:r>
        <w:rPr>
          <w:color w:val="000000"/>
          <w:sz w:val="25"/>
          <w:szCs w:val="25"/>
        </w:rPr>
        <w:t xml:space="preserve">   </w:t>
      </w:r>
      <w:r>
        <w:rPr>
          <w:color w:val="000000"/>
          <w:sz w:val="25"/>
          <w:szCs w:val="25"/>
        </w:rPr>
        <w:t>По указанному разделу отражены расходы на осуществление органами местного самоуправления отдельных областных государственных полномочий по организации проведения мероприятий по отлову и содержанию безнадзорных собак и кошек в границах населенных пунктов Иркутской области в сумме 575,4 тыс. руб.</w:t>
      </w:r>
    </w:p>
    <w:p>
      <w:pPr>
        <w:pStyle w:val="Normal"/>
        <w:ind w:firstLine="360" w:right="27"/>
        <w:rPr>
          <w:b/>
          <w:sz w:val="25"/>
          <w:szCs w:val="25"/>
          <w:u w:val="single"/>
        </w:rPr>
      </w:pPr>
      <w:r>
        <w:rPr>
          <w:b/>
          <w:sz w:val="25"/>
          <w:szCs w:val="25"/>
          <w:u w:val="single"/>
        </w:rPr>
      </w:r>
    </w:p>
    <w:p>
      <w:pPr>
        <w:pStyle w:val="Normal"/>
        <w:ind w:firstLine="360" w:right="27"/>
        <w:jc w:val="center"/>
        <w:rPr>
          <w:b/>
          <w:sz w:val="25"/>
          <w:szCs w:val="25"/>
          <w:u w:val="single"/>
        </w:rPr>
      </w:pPr>
      <w:r>
        <w:rPr>
          <w:b/>
          <w:sz w:val="25"/>
          <w:szCs w:val="25"/>
          <w:u w:val="single"/>
        </w:rPr>
        <w:t>По разделу 07 «Образование»</w:t>
      </w:r>
    </w:p>
    <w:p>
      <w:pPr>
        <w:pStyle w:val="Normal"/>
        <w:ind w:firstLine="360" w:right="27"/>
        <w:jc w:val="center"/>
        <w:rPr>
          <w:b/>
          <w:sz w:val="25"/>
          <w:szCs w:val="25"/>
          <w:u w:val="single"/>
          <w:shd w:fill="FFFF00" w:val="clear"/>
        </w:rPr>
      </w:pPr>
      <w:r>
        <w:rPr>
          <w:b/>
          <w:sz w:val="25"/>
          <w:szCs w:val="25"/>
          <w:u w:val="single"/>
          <w:shd w:fill="FFFF00" w:val="clear"/>
        </w:rPr>
      </w:r>
    </w:p>
    <w:p>
      <w:pPr>
        <w:pStyle w:val="Normal"/>
        <w:ind w:firstLine="709" w:right="176"/>
        <w:rPr/>
      </w:pPr>
      <w:r>
        <w:rPr>
          <w:sz w:val="25"/>
          <w:szCs w:val="25"/>
        </w:rPr>
        <w:t xml:space="preserve">Наиболее значимое место в структуре расходов бюджета района занимают расходы на образование – 65,1% или в сумме 1460 406,0 тыс. руб., при плане 1 471 697,9  тыс. руб. Экономия сложилась в сумме </w:t>
      </w:r>
      <w:r>
        <w:rPr>
          <w:b/>
          <w:sz w:val="25"/>
          <w:szCs w:val="25"/>
        </w:rPr>
        <w:t xml:space="preserve">11 291,9 </w:t>
      </w:r>
      <w:r>
        <w:rPr>
          <w:sz w:val="25"/>
          <w:szCs w:val="25"/>
        </w:rPr>
        <w:t>тыс. руб., в том числе:</w:t>
      </w:r>
    </w:p>
    <w:p>
      <w:pPr>
        <w:pStyle w:val="Normal"/>
        <w:tabs>
          <w:tab w:val="clear" w:pos="720"/>
          <w:tab w:val="left" w:pos="709" w:leader="none"/>
        </w:tabs>
        <w:ind w:hanging="0" w:right="0"/>
        <w:rPr/>
      </w:pPr>
      <w:r>
        <w:rPr>
          <w:b/>
          <w:bCs/>
          <w:shd w:fill="FFFFFF" w:val="clear"/>
        </w:rPr>
        <w:t>По р.п. 0701 «Дошкольное образование» -</w:t>
      </w:r>
      <w:r>
        <w:rPr>
          <w:b/>
          <w:bCs/>
          <w:color w:val="000000"/>
          <w:shd w:fill="FFFFFF" w:val="clear"/>
        </w:rPr>
        <w:t xml:space="preserve"> 742,0 тыс. руб., в том числе:</w:t>
      </w:r>
    </w:p>
    <w:p>
      <w:pPr>
        <w:pStyle w:val="Normal"/>
        <w:tabs>
          <w:tab w:val="clear" w:pos="720"/>
          <w:tab w:val="left" w:pos="709" w:leader="none"/>
        </w:tabs>
        <w:ind w:hanging="0" w:right="0"/>
        <w:rPr/>
      </w:pPr>
      <w:r>
        <w:rPr>
          <w:color w:val="000000"/>
          <w:shd w:fill="FFFFFF" w:val="clear"/>
        </w:rPr>
        <w:t xml:space="preserve"> </w:t>
      </w:r>
      <w:r>
        <w:rPr>
          <w:color w:val="000000"/>
          <w:shd w:fill="FFFFFF" w:val="clear"/>
        </w:rPr>
        <w:t xml:space="preserve">в сумме 562,6 тыс. руб. в связи с поступлением платы, взимаемой с родителей за присмотр и уход за детьми, в последних числах финансового года; в сумме 163,2тыс. руб. </w:t>
      </w:r>
      <w:r>
        <w:rPr>
          <w:shd w:fill="FFFFFF" w:val="clear"/>
        </w:rPr>
        <w:t>остаток бюджетных ассигнований на обеспечение деятельности подведомственных учреждений по оплате коммунальных услуг (отопление, эл. энергия, вывоз ТКО и ЖБО) в связи с оплатой в соответствии с предъявленными документами на оплату в объеме поступивших средств местного бюджета;</w:t>
      </w:r>
      <w:r>
        <w:rPr>
          <w:color w:val="000000"/>
          <w:shd w:fill="FFFFFF" w:val="clear"/>
        </w:rPr>
        <w:t xml:space="preserve"> в сумме 16,2 тыс. руб. в связи с оплатой контрактов </w:t>
      </w:r>
      <w:r>
        <w:rPr>
          <w:shd w:fill="FFFFFF" w:val="clear"/>
        </w:rPr>
        <w:t>в объеме поступивших средств местного бюджета.</w:t>
      </w:r>
    </w:p>
    <w:p>
      <w:pPr>
        <w:pStyle w:val="Normal"/>
        <w:ind w:hanging="0" w:right="0"/>
        <w:rPr/>
      </w:pPr>
      <w:r>
        <w:rPr>
          <w:b/>
          <w:bCs/>
          <w:color w:val="302709"/>
        </w:rPr>
        <w:t>По р.п. 0702 «Общее образование» - 10 063,5 тыс. руб</w:t>
      </w:r>
      <w:r>
        <w:rPr>
          <w:color w:val="302709"/>
        </w:rPr>
        <w:t xml:space="preserve">., в том числе: </w:t>
      </w:r>
      <w:r>
        <w:rPr>
          <w:color w:val="000000"/>
        </w:rPr>
        <w:t>в сумме 4 850, 7 тыс.руб.</w:t>
      </w:r>
      <w:r>
        <w:rPr/>
        <w:t xml:space="preserve"> по </w:t>
      </w:r>
      <w:r>
        <w:rPr>
          <w:color w:val="000000"/>
        </w:rPr>
        <w:t xml:space="preserve">приобретению средств обучения и воспитания, необходимых для оснащения учебных кабинетов муниципальных общеобразовательных организаций </w:t>
      </w:r>
      <w:r>
        <w:rPr>
          <w:color w:val="000000"/>
          <w:spacing w:val="2"/>
        </w:rPr>
        <w:t xml:space="preserve">не оплачены выполненные работы, услуги по муниципальным контрактам в сумме 4 845,8 тыс.руб., в том числе за счет средств субсидии из областного бюджета в сумме 4 506, 5 тыс.руб. в связи с отсутствием денежных средств на едином счете областного бюджета </w:t>
      </w:r>
      <w:r>
        <w:rPr/>
        <w:t>и экономии при проведении аукционов в сумме 4 ,9 тыс. руб.</w:t>
      </w:r>
      <w:r>
        <w:rPr>
          <w:color w:val="000000"/>
        </w:rPr>
        <w:t xml:space="preserve">, из них за счет средств субсидии из областного бюджета </w:t>
      </w:r>
      <w:r>
        <w:rPr>
          <w:rFonts w:eastAsia="Calibri"/>
        </w:rPr>
        <w:t>в сумме 4, 6 тыс.руб.</w:t>
      </w:r>
      <w:r>
        <w:rPr>
          <w:rFonts w:eastAsia="Courier New"/>
        </w:rPr>
        <w:t xml:space="preserve">; в сумме 963, 4 тыс.руб.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не оплачены выполненные работы, услуги по муниципальным контрактам в сумме 962,9 тыс. руб., в том числе за счет средств субсидии из областного бюджета в сумме 895,5 тыс. руб., в связи с отсутствием денежных средств на едином счете областного бюджета и экономии при проведении закупочных процедур в сумме 0,5 тыс. руб., из них за счет средств субсидии из областного бюджета в сумме 0,5 тыс. руб.;  </w:t>
      </w:r>
      <w:r>
        <w:rPr/>
        <w:t>в сумме 842,5 тыс. руб. по инициативным платежам МОУ «Будаговская СОШ», МОУ «Едогонская СОШ», МОУ «Икейская СОШ», МОУ «Умыганская СОШ»,</w:t>
      </w:r>
      <w:r>
        <w:rPr>
          <w:rFonts w:eastAsia="Courier New"/>
        </w:rPr>
        <w:t xml:space="preserve"> платежи поступили для реализации инициативных проектов в 2026 году; </w:t>
      </w:r>
      <w:r>
        <w:rPr>
          <w:color w:val="000000"/>
        </w:rPr>
        <w:t xml:space="preserve">в сумме 763,8 тыс. руб. </w:t>
      </w:r>
      <w:r>
        <w:rPr/>
        <w:t>на обеспечение деятельности подведомственных учреждений по оплате коммунальных услуг в связи с оплатой в соответствии с фактически предъявленными документами на оплату;</w:t>
      </w:r>
      <w:r>
        <w:rPr>
          <w:color w:val="000000"/>
        </w:rPr>
        <w:t xml:space="preserve"> в сумме 384 ,1 тыс. руб. </w:t>
      </w:r>
      <w:r>
        <w:rPr>
          <w:rFonts w:eastAsia="Calibri"/>
        </w:rPr>
        <w:t xml:space="preserve">для оплаты контрактов по услугам АО«Глонасс», ООО«Автоника плюс», предрейсовому, медицинскому осмотру, услугам охраны, противопожарным мероприятиям, приобретению основных средств, прочих работ, услуг по фактически представленным документам на оплату; </w:t>
      </w:r>
      <w:r>
        <w:rPr>
          <w:rFonts w:eastAsia="Arial"/>
          <w:color w:val="000000"/>
        </w:rPr>
        <w:t xml:space="preserve">в сумме 347,6 тыс. руб. иных межбюджетных трансфертов на ежемесячное денежное вознаграждения за классное руководство педагогическим работникам муниципальных общеобразовательных организаций в Иркутской области, в связи с перечислением в пределах сумм, необходимых для оплаты денежных обязательств по начисленным расходам и отсутствием потребности; </w:t>
      </w:r>
      <w:r>
        <w:rPr>
          <w:color w:val="000000"/>
        </w:rPr>
        <w:t xml:space="preserve">в сумме 321,4 тыс. руб. в </w:t>
      </w:r>
      <w:r>
        <w:rPr/>
        <w:t>связи с экономией при заключении контрактов</w:t>
      </w:r>
      <w:r>
        <w:rPr>
          <w:color w:val="000000"/>
        </w:rPr>
        <w:t xml:space="preserve"> по результатам проведения конкурсных процедур, при проведении капитального ремонта и приобретении учебного оборудования для МОУ «Шерагульская СОШ», из них за счет средств субсидии из областного бюджета</w:t>
      </w:r>
      <w:r>
        <w:rPr/>
        <w:t xml:space="preserve"> на р</w:t>
      </w:r>
      <w:r>
        <w:rPr>
          <w:color w:val="000000"/>
        </w:rPr>
        <w:t>еализацию мероприятий по модернизации школьных систем образования (объекты капитального ремонта, по которым решение о предоставлении субсидии принято до отчетного финансового года) в сумме 294,2 тыс. руб.; в сумме 307,8 тыс.руб. по оплате контрактов за ГСМ по фактически представленным на оплату документам</w:t>
      </w:r>
      <w:r>
        <w:rPr/>
        <w:t xml:space="preserve">; </w:t>
      </w:r>
      <w:r>
        <w:rPr>
          <w:rFonts w:eastAsia="Arial"/>
          <w:color w:val="000000"/>
        </w:rPr>
        <w:t xml:space="preserve">в сумме 289,8 тыс. руб. по оплате работ, услуг по содержанию имущества по фактически представленным документам на оплату; </w:t>
      </w:r>
      <w:r>
        <w:rPr/>
        <w:t xml:space="preserve">в сумме 234,8 тыс.руб.по оплате контрактов за услуги по технической эксплуатации и полному сервисному обслуживанию автоматических угольных модульных котельных «Терморобот» по представленным документам на оплату; в сумме 215,0 тыс. руб. – остаток бюджетных ассигнований по поступившим грантам, освоение планируется в 2026 году; </w:t>
      </w:r>
      <w:r>
        <w:rPr>
          <w:color w:val="000000"/>
        </w:rPr>
        <w:t xml:space="preserve">в сумме 201,9 тыс. руб. в связи с поступлением платы, взимаемой с родителей за присмотр и уход за детьми, в последних числах финансового года; в сумме 101,3 тыс. руб. в связи с отсутствием необходимости за счет средств субсидии по организации бесплатного горячего питания обучающихся, получающих начальное общее образование в муниципальных образовательных организациях в Иркутской области, в том числе средства областного бюджета в сумме 99,6 тыс. руб.; в сумме 100,9 тыс. руб. оплата земельного налога за </w:t>
      </w:r>
      <w:r>
        <w:rPr>
          <w:rFonts w:eastAsia="Calibri"/>
          <w:lang w:val="en-US"/>
        </w:rPr>
        <w:t>IV</w:t>
      </w:r>
      <w:r>
        <w:rPr>
          <w:rFonts w:eastAsia="Calibri"/>
        </w:rPr>
        <w:t xml:space="preserve"> квартал</w:t>
      </w:r>
      <w:r>
        <w:rPr>
          <w:color w:val="000000"/>
        </w:rPr>
        <w:t xml:space="preserve"> 2025 года в объеме поступивших средств местного бюджета на 30.12.2025г.</w:t>
      </w:r>
      <w:r>
        <w:rPr/>
        <w:t xml:space="preserve">; </w:t>
      </w:r>
      <w:r>
        <w:rPr>
          <w:color w:val="000000"/>
        </w:rPr>
        <w:t xml:space="preserve">в сумме 100 ,0 тыс. руб. в связи с оплатой по муниципальному контракту на оказание услуг авторского надзора за проведением капитального ремонта муниципального общеобразовательного учреждения «Шерагульская средняя общеобразовательная школа» по представленным документам на оплату; </w:t>
      </w:r>
      <w:r>
        <w:rPr>
          <w:rFonts w:eastAsia="Courier New"/>
        </w:rPr>
        <w:t xml:space="preserve">в сумме 22 ,7 тыс.руб. средств субвенции на обеспечение бесплатным двухразовым питанием детей-инвалидов, в </w:t>
      </w:r>
      <w:r>
        <w:rPr>
          <w:color w:val="000000"/>
        </w:rPr>
        <w:t xml:space="preserve"> связи с уменьшением численности данной категории учащихся; </w:t>
      </w:r>
      <w:r>
        <w:rPr>
          <w:rFonts w:eastAsia="Calibri"/>
          <w:color w:val="000000"/>
        </w:rPr>
        <w:t>в сумме 15,5 тыс.руб. экономия средств по результатам проведения конкурсных процедур по инициативным проектам 2025 года (установка окон в МОУ «Афанасьевская СОШ»); в сумме 0,2 тыс. руб.  экономия по результатам проведения конкурсных процедур</w:t>
      </w:r>
      <w:r>
        <w:rPr>
          <w:rFonts w:eastAsia="Courier New"/>
          <w:color w:val="000000"/>
        </w:rPr>
        <w:t xml:space="preserve"> за счет </w:t>
      </w:r>
      <w:r>
        <w:rPr>
          <w:rFonts w:eastAsia="Calibri"/>
          <w:color w:val="000000"/>
        </w:rPr>
        <w:t xml:space="preserve"> иных межбюджетных трансфертов на</w:t>
      </w:r>
      <w:r>
        <w:rPr>
          <w:rFonts w:eastAsia="Courier New"/>
          <w:color w:val="000000"/>
        </w:rPr>
        <w:t xml:space="preserve"> оснащение предметных кабинетов общеобразовательных организаций средствами обучения и воспитания.</w:t>
      </w:r>
    </w:p>
    <w:p>
      <w:pPr>
        <w:pStyle w:val="Normal"/>
        <w:numPr>
          <w:ilvl w:val="0"/>
          <w:numId w:val="4"/>
        </w:numPr>
        <w:tabs>
          <w:tab w:val="clear" w:pos="720"/>
          <w:tab w:val="left" w:pos="1134" w:leader="none"/>
        </w:tabs>
        <w:ind w:firstLine="113" w:left="0" w:right="170"/>
        <w:rPr/>
      </w:pPr>
      <w:r>
        <w:rPr>
          <w:b/>
          <w:bCs/>
          <w:color w:val="000000"/>
        </w:rPr>
        <w:t xml:space="preserve">По р.п. 0703 «Дополнительное образование детей» </w:t>
      </w:r>
      <w:r>
        <w:rPr>
          <w:color w:val="000000"/>
        </w:rPr>
        <w:t>и</w:t>
      </w:r>
      <w:r>
        <w:rPr>
          <w:color w:val="000000"/>
          <w:sz w:val="25"/>
          <w:szCs w:val="25"/>
        </w:rPr>
        <w:t xml:space="preserve">сполнение по данному разделу составило 21 903,4 тыс. руб. </w:t>
      </w:r>
      <w:r>
        <w:rPr>
          <w:color w:val="000000"/>
          <w:sz w:val="25"/>
          <w:szCs w:val="25"/>
          <w:shd w:fill="FFFFFF" w:val="clear"/>
        </w:rPr>
        <w:t>или 99,0% к плану (</w:t>
      </w:r>
      <w:r>
        <w:rPr>
          <w:color w:val="000000"/>
          <w:sz w:val="25"/>
          <w:szCs w:val="25"/>
        </w:rPr>
        <w:t xml:space="preserve">план 22 134,4 тыс. руб.) </w:t>
      </w:r>
      <w:r>
        <w:rPr>
          <w:color w:val="000000"/>
          <w:shd w:fill="FFFFFF" w:val="clear"/>
        </w:rPr>
        <w:t>Экономия сложилась в сумме 230,9 тыс. руб., в том числе:</w:t>
      </w:r>
      <w:r>
        <w:rPr>
          <w:b/>
          <w:bCs/>
          <w:color w:val="000000"/>
        </w:rPr>
        <w:t xml:space="preserve"> </w:t>
      </w:r>
      <w:r>
        <w:rPr/>
        <w:t xml:space="preserve">в сумме 108,0 тыс. руб. в связи с оплатой коммунальных услуг по образовательным организациям в объеме представленных документов на оплату; </w:t>
      </w:r>
      <w:r>
        <w:rPr>
          <w:color w:val="000000"/>
        </w:rPr>
        <w:t xml:space="preserve">в сумме 86,9 тыс. руб. в связи выплатой заработной платы за декабрь 2025 года </w:t>
      </w:r>
      <w:bookmarkStart w:id="8" w:name="_Hlk1885433701"/>
      <w:r>
        <w:rPr>
          <w:color w:val="000000"/>
        </w:rPr>
        <w:t xml:space="preserve">в объеме поступивших средств местного бюджета на 30.12.2025г.; </w:t>
      </w:r>
      <w:bookmarkEnd w:id="8"/>
      <w:r>
        <w:rPr>
          <w:color w:val="000000"/>
        </w:rPr>
        <w:t xml:space="preserve">в сумме 36,0 тыс. руб. на осуществление целей, направленных на развитие школы и ее материально-технической базы за счет средств пожертвований и добровольных безвозмездных взносов на развитие МКОУ ДО "ДШИ" с. Шерагул. Договора действуют до окончания учебного процесса. </w:t>
      </w:r>
    </w:p>
    <w:p>
      <w:pPr>
        <w:pStyle w:val="Normal"/>
        <w:numPr>
          <w:ilvl w:val="0"/>
          <w:numId w:val="4"/>
        </w:numPr>
        <w:ind w:firstLine="709" w:left="0" w:right="176"/>
        <w:rPr/>
      </w:pPr>
      <w:r>
        <w:rPr>
          <w:sz w:val="25"/>
          <w:szCs w:val="25"/>
        </w:rPr>
        <w:t xml:space="preserve">По разделу, подразделу 0703  </w:t>
      </w:r>
      <w:r>
        <w:rPr>
          <w:color w:val="000000"/>
          <w:sz w:val="25"/>
          <w:szCs w:val="25"/>
        </w:rPr>
        <w:t xml:space="preserve">«Дополнительное образование детей» </w:t>
      </w:r>
      <w:r>
        <w:rPr>
          <w:sz w:val="25"/>
          <w:szCs w:val="25"/>
        </w:rPr>
        <w:t xml:space="preserve">отражены расходы на содержание муниципального казённого образовательного учреждения дополнительного образования "Детская школа искусств" с. Шерагул в сумме 10 012,8 тыс. руб., на содержание </w:t>
      </w:r>
      <w:r>
        <w:rPr>
          <w:szCs w:val="25"/>
        </w:rPr>
        <w:t>муниципального казенного образовательного учреждения дополнительного образования "Спортивная школа" Тулунского муниципального района направлено  11 890,6</w:t>
      </w:r>
      <w:r>
        <w:rPr>
          <w:sz w:val="25"/>
          <w:szCs w:val="25"/>
        </w:rPr>
        <w:t>тыс. руб.</w:t>
      </w:r>
    </w:p>
    <w:p>
      <w:pPr>
        <w:pStyle w:val="Normal"/>
        <w:ind w:hanging="0" w:right="0"/>
        <w:rPr/>
      </w:pPr>
      <w:r>
        <w:rPr>
          <w:sz w:val="25"/>
          <w:szCs w:val="25"/>
        </w:rPr>
        <w:t xml:space="preserve">       </w:t>
      </w:r>
      <w:r>
        <w:rPr>
          <w:b/>
          <w:bCs/>
          <w:sz w:val="25"/>
          <w:szCs w:val="25"/>
        </w:rPr>
        <w:t xml:space="preserve"> </w:t>
      </w:r>
      <w:r>
        <w:rPr>
          <w:b/>
          <w:bCs/>
          <w:sz w:val="25"/>
          <w:szCs w:val="25"/>
        </w:rPr>
        <w:t>По р.п. 0709 «</w:t>
      </w:r>
      <w:r>
        <w:rPr>
          <w:b/>
          <w:bCs/>
          <w:color w:val="000000"/>
          <w:sz w:val="25"/>
          <w:szCs w:val="25"/>
        </w:rPr>
        <w:t>Другие вопросы в области образования»</w:t>
      </w:r>
      <w:r>
        <w:rPr>
          <w:b/>
          <w:bCs/>
          <w:sz w:val="25"/>
          <w:szCs w:val="25"/>
        </w:rPr>
        <w:t xml:space="preserve"> - 255,5 </w:t>
      </w:r>
      <w:r>
        <w:rPr>
          <w:b/>
          <w:bCs/>
          <w:color w:val="000000"/>
          <w:sz w:val="25"/>
          <w:szCs w:val="25"/>
        </w:rPr>
        <w:t>тыс. руб., в том числе:</w:t>
      </w:r>
      <w:r>
        <w:rPr>
          <w:b/>
          <w:bCs/>
          <w:color w:val="000000"/>
          <w:sz w:val="28"/>
          <w:szCs w:val="28"/>
        </w:rPr>
        <w:t xml:space="preserve"> </w:t>
      </w:r>
      <w:r>
        <w:rPr>
          <w:color w:val="000000"/>
        </w:rPr>
        <w:t xml:space="preserve">в сумме 164,6 тыс.руб. в связи с оплатой контрактов за счет средств местного бюджета </w:t>
      </w:r>
      <w:r>
        <w:rPr>
          <w:rFonts w:cs="Calibri"/>
          <w:color w:val="000000"/>
        </w:rPr>
        <w:t xml:space="preserve">по приобретению ГСМ, оказанию услуг связи,  предрейсового медосмотра водителей, услуг АО«Глонасс» и ООО «Автоника плюс» в соответствии с представленными документами на оплату; </w:t>
      </w:r>
      <w:r>
        <w:rPr>
          <w:color w:val="000000"/>
        </w:rPr>
        <w:t xml:space="preserve">в сумме 83,3 тыс. руб. в связи выплатой заработной платы за декабрь 2025 года в объеме поступивших средств местного бюджета на 30.12.2025г.; в сумме 7,4 тыс. руб. в связи с оплатой </w:t>
      </w:r>
      <w:r>
        <w:rPr>
          <w:rFonts w:eastAsia="Calibri"/>
          <w:color w:val="000000"/>
        </w:rPr>
        <w:t>услуг по электроэнергии по фактически предъявленным документам на оплату</w:t>
      </w:r>
      <w:r>
        <w:rPr>
          <w:color w:val="000000"/>
        </w:rPr>
        <w:t xml:space="preserve">; </w:t>
      </w:r>
      <w:r>
        <w:rPr>
          <w:rFonts w:cs="Calibri"/>
          <w:color w:val="000000"/>
        </w:rPr>
        <w:t xml:space="preserve">в сумме 0,2 тыс. руб. </w:t>
      </w:r>
      <w:r>
        <w:rPr>
          <w:rFonts w:eastAsia="Calibri"/>
          <w:color w:val="000000"/>
        </w:rPr>
        <w:t>иных межбюджетных трансфертов</w:t>
      </w:r>
      <w:r>
        <w:rPr>
          <w:rFonts w:cs="Calibri"/>
          <w:color w:val="000000"/>
        </w:rPr>
        <w:t xml:space="preserve"> на</w:t>
      </w:r>
      <w:r>
        <w:rPr>
          <w:rFonts w:eastAsia="Calibri"/>
          <w:color w:val="000000"/>
        </w:rPr>
        <w:t xml:space="preserve">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 в связи с отсутствием потребности.</w:t>
      </w:r>
    </w:p>
    <w:p>
      <w:pPr>
        <w:pStyle w:val="Normal"/>
        <w:ind w:firstLine="709" w:right="176"/>
        <w:rPr/>
      </w:pPr>
      <w:r>
        <w:rPr>
          <w:sz w:val="25"/>
          <w:szCs w:val="25"/>
        </w:rPr>
        <w:t>Расходы на выплату заработной платы с начислениями на нее за 2025 год составили  1 203 355,6</w:t>
      </w:r>
      <w:r>
        <w:rPr>
          <w:b/>
          <w:sz w:val="25"/>
          <w:szCs w:val="25"/>
        </w:rPr>
        <w:t xml:space="preserve"> </w:t>
      </w:r>
      <w:r>
        <w:rPr>
          <w:sz w:val="25"/>
          <w:szCs w:val="25"/>
        </w:rPr>
        <w:t>тыс. руб. или 82, 4% от общей суммы расходов по разделу 0700.</w:t>
      </w:r>
    </w:p>
    <w:p>
      <w:pPr>
        <w:pStyle w:val="Normal"/>
        <w:ind w:firstLine="709" w:right="176"/>
        <w:rPr/>
      </w:pPr>
      <w:r>
        <w:rPr>
          <w:sz w:val="25"/>
          <w:szCs w:val="25"/>
        </w:rPr>
        <w:t>Комитет по образованию администрации Тулунского муниципального района координирует работу по организации образовательного процесса на территории Тулунского муниципального района. В состав сети Комитета по образованию входят 48 образовательных организаций, из них:</w:t>
      </w:r>
    </w:p>
    <w:p>
      <w:pPr>
        <w:pStyle w:val="Normal"/>
        <w:ind w:firstLine="709" w:right="176"/>
        <w:rPr/>
      </w:pPr>
      <w:r>
        <w:rPr>
          <w:sz w:val="25"/>
          <w:szCs w:val="25"/>
        </w:rPr>
        <w:t>Программы начального общего, основного общего и среднего общего образования реализует 30 общеобразовательное учреждение, в том числе: 19 средних школ, 9 - основных школ; 2 - начальные школы. В 2025 году в общеобразовательных учреждениях обучалось 2770  ( 2024год-3665) детей.</w:t>
      </w:r>
    </w:p>
    <w:p>
      <w:pPr>
        <w:pStyle w:val="Normal"/>
        <w:ind w:firstLine="709" w:right="176"/>
        <w:rPr/>
      </w:pPr>
      <w:r>
        <w:rPr>
          <w:sz w:val="25"/>
          <w:szCs w:val="25"/>
        </w:rPr>
        <w:t>Программы дошкольного образования реализуют 30 учреждения, из них: 18 - детских сада; 12 в общеобразовательных учреждениях (школах). В 2025 году дошкольные образовательные организации района посещал 728 ( 2024 год- 767) детей.</w:t>
      </w:r>
    </w:p>
    <w:p>
      <w:pPr>
        <w:pStyle w:val="Normal"/>
        <w:ind w:firstLine="709" w:right="176"/>
        <w:rPr>
          <w:sz w:val="25"/>
          <w:szCs w:val="25"/>
        </w:rPr>
      </w:pPr>
      <w:r>
        <w:rPr>
          <w:sz w:val="25"/>
          <w:szCs w:val="25"/>
        </w:rPr>
        <w:t xml:space="preserve">  </w:t>
      </w:r>
    </w:p>
    <w:p>
      <w:pPr>
        <w:pStyle w:val="Normal"/>
        <w:ind w:firstLine="360" w:right="27"/>
        <w:jc w:val="center"/>
        <w:rPr>
          <w:b/>
          <w:sz w:val="25"/>
          <w:szCs w:val="25"/>
          <w:u w:val="single"/>
        </w:rPr>
      </w:pPr>
      <w:r>
        <w:rPr>
          <w:b/>
          <w:sz w:val="25"/>
          <w:szCs w:val="25"/>
          <w:u w:val="single"/>
        </w:rPr>
        <w:t>По разделу 08 «Культура и кинематография»</w:t>
      </w:r>
    </w:p>
    <w:p>
      <w:pPr>
        <w:pStyle w:val="Normal"/>
        <w:ind w:firstLine="360" w:right="27"/>
        <w:jc w:val="center"/>
        <w:rPr>
          <w:b/>
          <w:sz w:val="25"/>
          <w:szCs w:val="25"/>
          <w:u w:val="single"/>
        </w:rPr>
      </w:pPr>
      <w:r>
        <w:rPr>
          <w:b/>
          <w:sz w:val="25"/>
          <w:szCs w:val="25"/>
          <w:u w:val="single"/>
        </w:rPr>
      </w:r>
    </w:p>
    <w:p>
      <w:pPr>
        <w:pStyle w:val="Normal"/>
        <w:ind w:firstLine="540" w:right="176"/>
        <w:rPr/>
      </w:pPr>
      <w:r>
        <w:rPr>
          <w:sz w:val="25"/>
          <w:szCs w:val="25"/>
        </w:rPr>
        <w:t>Исполнение по данному разделу составило 74 708,9 тыс. руб. или 99,0% к плановым назначениям, в структуре расходов бюджета района расходы на культуру составляют 3,3%. Экономия сложилась в сумме 777,3</w:t>
      </w:r>
      <w:r>
        <w:rPr>
          <w:color w:val="000000"/>
          <w:sz w:val="25"/>
          <w:szCs w:val="25"/>
        </w:rPr>
        <w:t xml:space="preserve"> тыс. руб., в том числе:</w:t>
      </w:r>
    </w:p>
    <w:p>
      <w:pPr>
        <w:pStyle w:val="ListParagraph"/>
        <w:numPr>
          <w:ilvl w:val="0"/>
          <w:numId w:val="3"/>
        </w:numPr>
        <w:tabs>
          <w:tab w:val="clear" w:pos="720"/>
          <w:tab w:val="left" w:pos="142" w:leader="none"/>
          <w:tab w:val="left" w:pos="1134" w:leader="none"/>
        </w:tabs>
        <w:spacing w:lineRule="auto" w:line="240" w:before="0" w:after="0"/>
        <w:ind w:firstLine="426" w:left="0" w:right="0"/>
        <w:contextualSpacing/>
        <w:rPr/>
      </w:pPr>
      <w:r>
        <w:rPr>
          <w:b/>
          <w:bCs/>
          <w:color w:val="000000"/>
          <w:sz w:val="25"/>
          <w:szCs w:val="25"/>
        </w:rPr>
        <w:t>по р.п. 0801 «</w:t>
      </w:r>
      <w:r>
        <w:rPr>
          <w:b/>
          <w:bCs/>
          <w:color w:val="1A1A1A"/>
          <w:sz w:val="25"/>
          <w:szCs w:val="25"/>
        </w:rPr>
        <w:t>Культура» -</w:t>
      </w:r>
      <w:r>
        <w:rPr>
          <w:b/>
          <w:bCs/>
          <w:color w:val="000000"/>
          <w:sz w:val="25"/>
          <w:szCs w:val="25"/>
        </w:rPr>
        <w:t xml:space="preserve"> в сумме 673,7тыс. руб</w:t>
      </w:r>
      <w:r>
        <w:rPr>
          <w:color w:val="000000"/>
          <w:sz w:val="25"/>
          <w:szCs w:val="25"/>
        </w:rPr>
        <w:t>.:</w:t>
      </w:r>
    </w:p>
    <w:p>
      <w:pPr>
        <w:pStyle w:val="ListParagraph"/>
        <w:numPr>
          <w:ilvl w:val="0"/>
          <w:numId w:val="3"/>
        </w:numPr>
        <w:tabs>
          <w:tab w:val="clear" w:pos="720"/>
          <w:tab w:val="left" w:pos="142" w:leader="none"/>
          <w:tab w:val="left" w:pos="1134" w:leader="none"/>
        </w:tabs>
        <w:spacing w:lineRule="auto" w:line="240" w:before="0" w:after="0"/>
        <w:ind w:firstLine="426" w:left="0" w:right="0"/>
        <w:contextualSpacing/>
        <w:rPr/>
      </w:pPr>
      <w:r>
        <w:rPr>
          <w:color w:val="000000"/>
          <w:sz w:val="25"/>
          <w:szCs w:val="25"/>
        </w:rPr>
        <w:t>в сумме 304,8 тыс. руб. в связи с выплатой заработной платы с начислениями на нее за декабрь 2025 года в объеме поступивших средств местного бюджета;</w:t>
      </w:r>
    </w:p>
    <w:p>
      <w:pPr>
        <w:pStyle w:val="ListParagraph"/>
        <w:numPr>
          <w:ilvl w:val="0"/>
          <w:numId w:val="3"/>
        </w:numPr>
        <w:tabs>
          <w:tab w:val="clear" w:pos="720"/>
          <w:tab w:val="left" w:pos="142" w:leader="none"/>
          <w:tab w:val="left" w:pos="1134" w:leader="none"/>
        </w:tabs>
        <w:spacing w:lineRule="auto" w:line="240" w:before="0" w:after="0"/>
        <w:ind w:firstLine="426" w:left="0" w:right="0"/>
        <w:contextualSpacing/>
        <w:rPr/>
      </w:pPr>
      <w:r>
        <w:rPr>
          <w:color w:val="000000"/>
          <w:sz w:val="25"/>
          <w:szCs w:val="25"/>
        </w:rPr>
        <w:t xml:space="preserve">в сумме 181,4 тыс. руб. в связи с оплатой коммунальных услуг по организациям в сфере культуры по представленным документам на оплату; </w:t>
      </w:r>
    </w:p>
    <w:p>
      <w:pPr>
        <w:pStyle w:val="Normal"/>
        <w:numPr>
          <w:ilvl w:val="0"/>
          <w:numId w:val="3"/>
        </w:numPr>
        <w:tabs>
          <w:tab w:val="clear" w:pos="720"/>
          <w:tab w:val="left" w:pos="1134" w:leader="none"/>
        </w:tabs>
        <w:ind w:hanging="113" w:left="113" w:right="0"/>
        <w:rPr/>
      </w:pPr>
      <w:r>
        <w:rPr>
          <w:color w:val="000000"/>
        </w:rPr>
        <w:t xml:space="preserve">      </w:t>
      </w:r>
      <w:r>
        <w:rPr>
          <w:color w:val="000000"/>
        </w:rPr>
        <w:t>в сумме 180,0 тыс. руб. за счет средств инициативных платежей, поступивших в 2025 году для реализации инициативных проектов в 2026 году по МКУК МЦБ им. Г.С. Виноградова» ТМР» в сумме 180,0 тыс. руб. (платежные поручения: от 18.09.2025г. №823046 в сумме 100,0 тыс. руб., от 22.09.2025г. №633528 в сумме 80,0 тыс. руб.)</w:t>
      </w:r>
      <w:r>
        <w:rPr>
          <w:color w:val="000000"/>
          <w:sz w:val="28"/>
          <w:szCs w:val="28"/>
        </w:rPr>
        <w:t xml:space="preserve">; </w:t>
      </w:r>
    </w:p>
    <w:p>
      <w:pPr>
        <w:pStyle w:val="Normal"/>
        <w:numPr>
          <w:ilvl w:val="0"/>
          <w:numId w:val="3"/>
        </w:numPr>
        <w:tabs>
          <w:tab w:val="clear" w:pos="720"/>
          <w:tab w:val="left" w:pos="993" w:leader="none"/>
        </w:tabs>
        <w:ind w:hanging="0" w:left="0" w:right="0"/>
        <w:rPr>
          <w:rFonts w:eastAsia="Arial"/>
          <w:color w:val="000000"/>
        </w:rPr>
      </w:pPr>
      <w:r>
        <w:rPr>
          <w:rFonts w:eastAsia="Arial"/>
          <w:color w:val="000000"/>
        </w:rPr>
        <w:t xml:space="preserve">    </w:t>
      </w:r>
      <w:r>
        <w:rPr>
          <w:rFonts w:eastAsia="Arial"/>
          <w:color w:val="000000"/>
        </w:rPr>
        <w:t>в сумме 7 ,5 тыс.руб. в связи с оплатой контрактов за счет средств  местного бюджета по представленным документам на оплату, в том числе:в сумме 1,4 тыс. руб. за услуги связи; в сумме 3,8 тыс. руб. за прочие работы, услуги (охрана МКУК "МДК "Прометей); в сумме 2,3 тыс. руб. за работы, услуги по содержанию имущества (охрана МКУК "МДК "Прометей").</w:t>
      </w:r>
    </w:p>
    <w:p>
      <w:pPr>
        <w:pStyle w:val="ListParagraph"/>
        <w:numPr>
          <w:ilvl w:val="0"/>
          <w:numId w:val="3"/>
        </w:numPr>
        <w:tabs>
          <w:tab w:val="clear" w:pos="720"/>
          <w:tab w:val="left" w:pos="142" w:leader="none"/>
          <w:tab w:val="left" w:pos="1134" w:leader="none"/>
        </w:tabs>
        <w:spacing w:lineRule="auto" w:line="240" w:before="0" w:after="0"/>
        <w:ind w:firstLine="426" w:left="0" w:right="0"/>
        <w:contextualSpacing/>
        <w:rPr/>
      </w:pPr>
      <w:r>
        <w:rPr>
          <w:b/>
          <w:bCs/>
          <w:color w:val="000000"/>
          <w:sz w:val="25"/>
          <w:szCs w:val="25"/>
        </w:rPr>
        <w:t xml:space="preserve">по р.п. 0804 «Другие вопросы в области культуры, </w:t>
      </w:r>
      <w:r>
        <w:rPr>
          <w:b/>
          <w:bCs/>
          <w:color w:val="1A1A1A"/>
          <w:sz w:val="25"/>
          <w:szCs w:val="25"/>
        </w:rPr>
        <w:t>кинематографии»</w:t>
      </w:r>
      <w:r>
        <w:rPr>
          <w:color w:val="1A1A1A"/>
          <w:sz w:val="25"/>
          <w:szCs w:val="25"/>
        </w:rPr>
        <w:t xml:space="preserve"> -</w:t>
      </w:r>
      <w:r>
        <w:rPr>
          <w:color w:val="000000"/>
          <w:sz w:val="25"/>
          <w:szCs w:val="25"/>
        </w:rPr>
        <w:t xml:space="preserve"> в сумме 103,6 тыс. руб.:</w:t>
      </w:r>
    </w:p>
    <w:p>
      <w:pPr>
        <w:pStyle w:val="ListParagraph"/>
        <w:numPr>
          <w:ilvl w:val="0"/>
          <w:numId w:val="3"/>
        </w:numPr>
        <w:tabs>
          <w:tab w:val="clear" w:pos="720"/>
          <w:tab w:val="left" w:pos="142" w:leader="none"/>
          <w:tab w:val="left" w:pos="1134" w:leader="none"/>
        </w:tabs>
        <w:spacing w:lineRule="auto" w:line="240" w:before="0" w:after="0"/>
        <w:ind w:firstLine="426" w:left="0" w:right="0"/>
        <w:contextualSpacing/>
        <w:rPr/>
      </w:pPr>
      <w:r>
        <w:rPr>
          <w:color w:val="000000"/>
          <w:sz w:val="25"/>
          <w:szCs w:val="25"/>
        </w:rPr>
        <w:t xml:space="preserve">в сумме 99,5 тыс. руб. в связи с выплатой заработной платы с начислениями на нее за декабрь 2025 года </w:t>
      </w:r>
      <w:bookmarkStart w:id="9" w:name="_Hlk188543309"/>
      <w:r>
        <w:rPr>
          <w:color w:val="000000"/>
          <w:sz w:val="25"/>
          <w:szCs w:val="25"/>
        </w:rPr>
        <w:t>в объеме поступивших средств местного бюджета;</w:t>
      </w:r>
      <w:bookmarkEnd w:id="9"/>
    </w:p>
    <w:p>
      <w:pPr>
        <w:pStyle w:val="ListParagraph"/>
        <w:numPr>
          <w:ilvl w:val="0"/>
          <w:numId w:val="3"/>
        </w:numPr>
        <w:tabs>
          <w:tab w:val="clear" w:pos="720"/>
          <w:tab w:val="left" w:pos="142" w:leader="none"/>
          <w:tab w:val="left" w:pos="1134" w:leader="none"/>
        </w:tabs>
        <w:spacing w:lineRule="auto" w:line="240" w:before="0" w:after="0"/>
        <w:ind w:firstLine="426" w:left="0" w:right="0"/>
        <w:contextualSpacing/>
        <w:rPr/>
      </w:pPr>
      <w:r>
        <w:rPr>
          <w:color w:val="000000"/>
          <w:sz w:val="25"/>
          <w:szCs w:val="25"/>
        </w:rPr>
        <w:t>в сумме 4,1 тыс. руб. в связи с оплатой за услуги связи   в объеме поступивших документов на оплату.</w:t>
      </w:r>
    </w:p>
    <w:p>
      <w:pPr>
        <w:pStyle w:val="Normal"/>
        <w:ind w:firstLine="709" w:right="176"/>
        <w:rPr/>
      </w:pPr>
      <w:r>
        <w:rPr>
          <w:sz w:val="25"/>
          <w:szCs w:val="25"/>
        </w:rPr>
        <w:t>Комитет по культуре, молодежной политике и спорту администрации Тулунского муниципального района обеспечивает услугами по организации досуга и услугами организаций культуры население Тулунского района.</w:t>
      </w:r>
      <w:r>
        <w:rPr>
          <w:bCs/>
          <w:sz w:val="25"/>
          <w:szCs w:val="25"/>
        </w:rPr>
        <w:t xml:space="preserve"> </w:t>
      </w:r>
      <w:r>
        <w:rPr>
          <w:sz w:val="25"/>
          <w:szCs w:val="25"/>
        </w:rPr>
        <w:t>Учреждения культуры Тулунского муниципального района по разделу БК 08 включают расходы:</w:t>
      </w:r>
    </w:p>
    <w:p>
      <w:pPr>
        <w:pStyle w:val="Normal"/>
        <w:numPr>
          <w:ilvl w:val="0"/>
          <w:numId w:val="7"/>
        </w:numPr>
        <w:tabs>
          <w:tab w:val="clear" w:pos="720"/>
          <w:tab w:val="left" w:pos="1080" w:leader="none"/>
        </w:tabs>
        <w:ind w:hanging="0" w:left="720" w:right="27"/>
        <w:rPr/>
      </w:pPr>
      <w:r>
        <w:rPr>
          <w:sz w:val="25"/>
          <w:szCs w:val="25"/>
        </w:rPr>
        <w:t>Управление по культуре, молодежной политике и спорту администрации Тулунского муниципального района в сумме 12 704,3</w:t>
      </w:r>
      <w:r>
        <w:rPr>
          <w:color w:val="000000"/>
          <w:sz w:val="25"/>
          <w:szCs w:val="25"/>
        </w:rPr>
        <w:t>тыс. руб.</w:t>
      </w:r>
      <w:r>
        <w:rPr>
          <w:sz w:val="25"/>
          <w:szCs w:val="25"/>
        </w:rPr>
        <w:t xml:space="preserve">; </w:t>
      </w:r>
    </w:p>
    <w:p>
      <w:pPr>
        <w:pStyle w:val="Normal"/>
        <w:numPr>
          <w:ilvl w:val="0"/>
          <w:numId w:val="7"/>
        </w:numPr>
        <w:tabs>
          <w:tab w:val="clear" w:pos="720"/>
          <w:tab w:val="left" w:pos="1080" w:leader="none"/>
        </w:tabs>
        <w:ind w:hanging="0" w:left="720" w:right="27"/>
        <w:rPr/>
      </w:pPr>
      <w:r>
        <w:rPr>
          <w:sz w:val="25"/>
          <w:szCs w:val="25"/>
        </w:rPr>
        <w:t xml:space="preserve">Муниципальное казённое учреждение культуры "Межпоселенческий дворец культуры "Прометей" в сумме </w:t>
      </w:r>
      <w:r>
        <w:rPr>
          <w:color w:val="000000"/>
          <w:sz w:val="25"/>
          <w:szCs w:val="25"/>
        </w:rPr>
        <w:t>22 748,4 тыс. руб.</w:t>
      </w:r>
      <w:r>
        <w:rPr>
          <w:sz w:val="25"/>
          <w:szCs w:val="25"/>
        </w:rPr>
        <w:t>;</w:t>
      </w:r>
    </w:p>
    <w:p>
      <w:pPr>
        <w:pStyle w:val="Normal"/>
        <w:numPr>
          <w:ilvl w:val="0"/>
          <w:numId w:val="7"/>
        </w:numPr>
        <w:tabs>
          <w:tab w:val="clear" w:pos="720"/>
          <w:tab w:val="left" w:pos="1080" w:leader="none"/>
        </w:tabs>
        <w:ind w:hanging="0" w:left="720" w:right="27"/>
        <w:rPr/>
      </w:pPr>
      <w:r>
        <w:rPr>
          <w:sz w:val="25"/>
          <w:szCs w:val="25"/>
        </w:rPr>
        <w:t>Муниципальное казенное учреждение культуры "Межпоселенческая центральная библиотека им. Г.С. Виноградова" Тулунского муниципального района</w:t>
      </w:r>
      <w:r>
        <w:rPr>
          <w:color w:val="000000"/>
          <w:sz w:val="25"/>
          <w:szCs w:val="25"/>
        </w:rPr>
        <w:t>, которая состоит из 27-ми обособленных структурных  подразделений, в том числе двух центральных: МКУК "Межпоселенческая центральная библиотека им. Г.С. Виноградова" Тулунского муниципального района  и Центральной  детской библиотеки в сумме 22 323,0 тыс. руб.;</w:t>
      </w:r>
    </w:p>
    <w:p>
      <w:pPr>
        <w:pStyle w:val="Normal"/>
        <w:numPr>
          <w:ilvl w:val="0"/>
          <w:numId w:val="7"/>
        </w:numPr>
        <w:tabs>
          <w:tab w:val="clear" w:pos="720"/>
          <w:tab w:val="left" w:pos="1080" w:leader="none"/>
        </w:tabs>
        <w:ind w:hanging="0" w:left="720" w:right="27"/>
        <w:rPr/>
      </w:pPr>
      <w:r>
        <w:rPr>
          <w:sz w:val="25"/>
          <w:szCs w:val="25"/>
        </w:rPr>
        <w:t xml:space="preserve">Муниципальное казенное учреждение культуры "Межпоселенческий организационно-методический центр" Тулунского муниципального района в сумме </w:t>
      </w:r>
      <w:r>
        <w:rPr>
          <w:color w:val="000000"/>
          <w:sz w:val="25"/>
          <w:szCs w:val="25"/>
        </w:rPr>
        <w:t>4 6 23,7 тыс. руб.</w:t>
      </w:r>
      <w:r>
        <w:rPr>
          <w:sz w:val="25"/>
          <w:szCs w:val="25"/>
        </w:rPr>
        <w:t>;</w:t>
      </w:r>
    </w:p>
    <w:p>
      <w:pPr>
        <w:pStyle w:val="Normal"/>
        <w:numPr>
          <w:ilvl w:val="0"/>
          <w:numId w:val="7"/>
        </w:numPr>
        <w:tabs>
          <w:tab w:val="clear" w:pos="720"/>
          <w:tab w:val="left" w:pos="1080" w:leader="none"/>
        </w:tabs>
        <w:ind w:hanging="0" w:left="720" w:right="27"/>
        <w:rPr/>
      </w:pPr>
      <w:r>
        <w:rPr>
          <w:rFonts w:cs="Arial CYR"/>
          <w:sz w:val="25"/>
          <w:szCs w:val="25"/>
        </w:rPr>
        <w:t>М</w:t>
      </w:r>
      <w:r>
        <w:rPr>
          <w:sz w:val="25"/>
          <w:szCs w:val="25"/>
        </w:rPr>
        <w:t xml:space="preserve">униципальное казённое учреждение культуры "Центр ремесел" Тулунского муниципального района в сумме 11 505,1 </w:t>
      </w:r>
      <w:r>
        <w:rPr>
          <w:color w:val="000000"/>
          <w:sz w:val="25"/>
          <w:szCs w:val="25"/>
        </w:rPr>
        <w:t>тыс. руб.</w:t>
      </w:r>
    </w:p>
    <w:p>
      <w:pPr>
        <w:pStyle w:val="Normal"/>
        <w:ind w:firstLine="709" w:right="176"/>
        <w:rPr>
          <w:sz w:val="25"/>
          <w:szCs w:val="25"/>
        </w:rPr>
      </w:pPr>
      <w:r>
        <w:rPr>
          <w:sz w:val="25"/>
          <w:szCs w:val="25"/>
        </w:rPr>
        <w:t xml:space="preserve">Расходы на выплату заработной платы с начислениями на нее за 2025 год составили 66 533,1 тыс. руб. или 89,1 % от общей суммы расходов по разделу 0800. </w:t>
      </w:r>
    </w:p>
    <w:p>
      <w:pPr>
        <w:pStyle w:val="Normal"/>
        <w:shd w:val="clear" w:color="auto" w:fill="FFFFFF"/>
        <w:ind w:firstLine="709" w:right="27"/>
        <w:rPr>
          <w:sz w:val="25"/>
          <w:szCs w:val="25"/>
        </w:rPr>
      </w:pPr>
      <w:r>
        <w:rPr>
          <w:sz w:val="25"/>
          <w:szCs w:val="25"/>
        </w:rPr>
      </w:r>
    </w:p>
    <w:p>
      <w:pPr>
        <w:pStyle w:val="Normal"/>
        <w:ind w:firstLine="360" w:right="27"/>
        <w:jc w:val="center"/>
        <w:rPr>
          <w:b/>
          <w:sz w:val="25"/>
          <w:szCs w:val="25"/>
          <w:u w:val="single"/>
        </w:rPr>
      </w:pPr>
      <w:r>
        <w:rPr>
          <w:b/>
          <w:sz w:val="25"/>
          <w:szCs w:val="25"/>
          <w:u w:val="single"/>
        </w:rPr>
        <w:t>По разделу 10 «Социальная политика»</w:t>
      </w:r>
    </w:p>
    <w:p>
      <w:pPr>
        <w:pStyle w:val="Normal"/>
        <w:ind w:firstLine="360" w:right="27"/>
        <w:rPr>
          <w:sz w:val="25"/>
          <w:szCs w:val="25"/>
        </w:rPr>
      </w:pPr>
      <w:r>
        <w:rPr>
          <w:sz w:val="25"/>
          <w:szCs w:val="25"/>
        </w:rPr>
      </w:r>
    </w:p>
    <w:p>
      <w:pPr>
        <w:pStyle w:val="Normal"/>
        <w:shd w:val="clear" w:color="auto" w:fill="FFFFFF"/>
        <w:ind w:firstLine="709" w:right="176"/>
        <w:rPr/>
      </w:pPr>
      <w:r>
        <w:rPr>
          <w:sz w:val="25"/>
          <w:szCs w:val="25"/>
        </w:rPr>
        <w:t>По данному разделу исполнение составило — 27 786,9 тыс. руб. или 99,6% к плановым назначениям (план – 27 886,9 тыс. руб.). Экономия сложилась в сумме 100,0</w:t>
      </w:r>
      <w:r>
        <w:rPr>
          <w:color w:val="000000"/>
          <w:sz w:val="25"/>
          <w:szCs w:val="25"/>
        </w:rPr>
        <w:t xml:space="preserve"> тыс. руб., в том числе:</w:t>
      </w:r>
      <w:r>
        <w:rPr>
          <w:sz w:val="25"/>
          <w:szCs w:val="25"/>
        </w:rPr>
        <w:t xml:space="preserve"> </w:t>
      </w:r>
    </w:p>
    <w:p>
      <w:pPr>
        <w:pStyle w:val="Normal"/>
        <w:shd w:val="clear" w:color="auto" w:fill="FFFFFF"/>
        <w:ind w:firstLine="709" w:right="176"/>
        <w:rPr/>
      </w:pPr>
      <w:r>
        <w:rPr>
          <w:color w:val="000000"/>
          <w:sz w:val="25"/>
          <w:szCs w:val="25"/>
        </w:rPr>
        <w:t>по р.п. 1003 «Социальное обеспечение населения» в сумме 100,0 тыс. руб. в связи с отсутствием получателей выплаты подъемных врачам и среднему медицинскому персоналу структурных подразделений ОГБУЗ «Тулунская городская больница», расположенных на территории Тулунского муниципального района.</w:t>
      </w:r>
    </w:p>
    <w:p>
      <w:pPr>
        <w:pStyle w:val="Normal"/>
        <w:shd w:val="clear" w:color="auto" w:fill="FFFFFF"/>
        <w:ind w:firstLine="709" w:right="176"/>
        <w:rPr/>
      </w:pPr>
      <w:r>
        <w:rPr>
          <w:color w:val="000000"/>
          <w:sz w:val="25"/>
          <w:szCs w:val="25"/>
        </w:rPr>
        <w:t xml:space="preserve">По р.п. 1004 «Охрана семьи и детства» предусмотрены бюджетные ассигнования за счет субвенции, предоставляемой из областного бюджета на осуществление органами местного самоуправления отдельных областных государственных полномочий по предоставлению мер социальной поддержки многодетным и малоимущим семьям Иркутской области на обеспечение бесплатным питанием учащихся общеобразовательных организаций в сумме 13 173,9 тыс. руб., исполнение составляет 100,00 % от плана. </w:t>
      </w:r>
    </w:p>
    <w:p>
      <w:pPr>
        <w:pStyle w:val="Normal"/>
        <w:ind w:firstLine="709" w:right="176"/>
        <w:rPr/>
      </w:pPr>
      <w:r>
        <w:rPr>
          <w:sz w:val="25"/>
          <w:szCs w:val="25"/>
        </w:rPr>
        <w:t xml:space="preserve">По </w:t>
      </w:r>
      <w:r>
        <w:rPr>
          <w:color w:val="000000"/>
          <w:sz w:val="25"/>
          <w:szCs w:val="25"/>
        </w:rPr>
        <w:t>р.п. 10</w:t>
      </w:r>
      <w:r>
        <w:rPr>
          <w:sz w:val="25"/>
          <w:szCs w:val="25"/>
        </w:rPr>
        <w:t>01 «Пенсионное обеспечение» произведены выплаты в сумме 14 612,9</w:t>
      </w:r>
      <w:r>
        <w:rPr>
          <w:color w:val="000000"/>
          <w:sz w:val="25"/>
          <w:szCs w:val="25"/>
        </w:rPr>
        <w:t xml:space="preserve"> </w:t>
      </w:r>
      <w:r>
        <w:rPr>
          <w:sz w:val="25"/>
          <w:szCs w:val="25"/>
        </w:rPr>
        <w:t>тыс. руб. на доплаты к пенсиям муниципальным служащим Тулунского муниципального района в соответствии с Порядком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Тулунского муниципального района, утвержденным постановлением администрации Тулунского муниципального района от 01.09.2014г. № 134-пг (с учетом изменений) и доплату к пенсии по старости лицу, замещавшему муниципальную должность, в соответствии с Положением о порядке назначения и выплаты ежемесячной доплаты к трудовой пенсии по старости, трудовой пенсии по инвалидности, пенсии, назначенной в соответствии с Законом Российской Федерации  «О занятости населения в Российской Федерации», гражданам, замещавшим должность мэра Тулунского муниципального района, утвержденного постановлением администрации Тулунского муниципального района от 16.08.2011г. № 103-пг (с учетом изменений).</w:t>
      </w:r>
    </w:p>
    <w:p>
      <w:pPr>
        <w:pStyle w:val="Normal"/>
        <w:tabs>
          <w:tab w:val="clear" w:pos="720"/>
          <w:tab w:val="left" w:pos="0" w:leader="none"/>
          <w:tab w:val="left" w:pos="1134" w:leader="none"/>
        </w:tabs>
        <w:spacing w:lineRule="auto" w:line="259"/>
        <w:ind w:firstLine="709" w:right="176"/>
        <w:rPr>
          <w:sz w:val="25"/>
          <w:szCs w:val="25"/>
        </w:rPr>
      </w:pPr>
      <w:r>
        <w:rPr>
          <w:sz w:val="25"/>
          <w:szCs w:val="25"/>
        </w:rPr>
      </w:r>
    </w:p>
    <w:p>
      <w:pPr>
        <w:pStyle w:val="Normal"/>
        <w:ind w:firstLine="360" w:right="27"/>
        <w:jc w:val="center"/>
        <w:rPr>
          <w:b/>
          <w:sz w:val="25"/>
          <w:szCs w:val="25"/>
          <w:u w:val="single"/>
        </w:rPr>
      </w:pPr>
      <w:r>
        <w:rPr>
          <w:b/>
          <w:sz w:val="25"/>
          <w:szCs w:val="25"/>
          <w:u w:val="single"/>
        </w:rPr>
        <w:t>По разделу 11 «Физическая культура и спорт»</w:t>
      </w:r>
    </w:p>
    <w:p>
      <w:pPr>
        <w:pStyle w:val="Normal"/>
        <w:ind w:firstLine="360" w:right="27"/>
        <w:jc w:val="center"/>
        <w:rPr>
          <w:b/>
          <w:sz w:val="25"/>
          <w:szCs w:val="25"/>
          <w:u w:val="single"/>
        </w:rPr>
      </w:pPr>
      <w:r>
        <w:rPr>
          <w:b/>
          <w:sz w:val="25"/>
          <w:szCs w:val="25"/>
          <w:u w:val="single"/>
        </w:rPr>
      </w:r>
    </w:p>
    <w:p>
      <w:pPr>
        <w:pStyle w:val="Normal"/>
        <w:tabs>
          <w:tab w:val="clear" w:pos="720"/>
          <w:tab w:val="left" w:pos="1820" w:leader="none"/>
        </w:tabs>
        <w:ind w:firstLine="709" w:right="176"/>
        <w:rPr/>
      </w:pPr>
      <w:r>
        <w:rPr>
          <w:sz w:val="25"/>
          <w:szCs w:val="25"/>
        </w:rPr>
        <w:t xml:space="preserve">По данному разделу исполнение составило — 682,6 тыс. руб. или 100,0% к плановым назначениям (план - 682,6 тыс. руб.). </w:t>
      </w:r>
    </w:p>
    <w:p>
      <w:pPr>
        <w:pStyle w:val="Normal"/>
        <w:tabs>
          <w:tab w:val="clear" w:pos="720"/>
          <w:tab w:val="left" w:pos="1820" w:leader="none"/>
        </w:tabs>
        <w:ind w:firstLine="709" w:right="176"/>
        <w:rPr/>
      </w:pPr>
      <w:r>
        <w:rPr>
          <w:sz w:val="25"/>
          <w:szCs w:val="25"/>
        </w:rPr>
        <w:t>По данному разделу произведены расходы на проведение мероприятий по физической культуре и спорту.</w:t>
      </w:r>
    </w:p>
    <w:p>
      <w:pPr>
        <w:pStyle w:val="Normal"/>
        <w:ind w:firstLine="709" w:right="176"/>
        <w:jc w:val="center"/>
        <w:rPr>
          <w:b/>
          <w:sz w:val="25"/>
          <w:szCs w:val="25"/>
          <w:u w:val="single"/>
        </w:rPr>
      </w:pPr>
      <w:r>
        <w:rPr>
          <w:b/>
          <w:sz w:val="25"/>
          <w:szCs w:val="25"/>
          <w:u w:val="single"/>
        </w:rPr>
      </w:r>
    </w:p>
    <w:p>
      <w:pPr>
        <w:pStyle w:val="Normal"/>
        <w:ind w:firstLine="709" w:right="176"/>
        <w:jc w:val="center"/>
        <w:rPr>
          <w:b/>
          <w:sz w:val="25"/>
          <w:szCs w:val="25"/>
          <w:u w:val="single"/>
        </w:rPr>
      </w:pPr>
      <w:r>
        <w:rPr>
          <w:b/>
          <w:sz w:val="25"/>
          <w:szCs w:val="25"/>
          <w:u w:val="single"/>
        </w:rPr>
        <w:t>По разделу 12 «Средства массовой информации»</w:t>
      </w:r>
    </w:p>
    <w:p>
      <w:pPr>
        <w:pStyle w:val="Normal"/>
        <w:ind w:firstLine="709" w:right="176"/>
        <w:rPr>
          <w:b/>
          <w:sz w:val="25"/>
          <w:szCs w:val="25"/>
          <w:u w:val="single"/>
        </w:rPr>
      </w:pPr>
      <w:r>
        <w:rPr>
          <w:b/>
          <w:sz w:val="25"/>
          <w:szCs w:val="25"/>
          <w:u w:val="single"/>
        </w:rPr>
      </w:r>
    </w:p>
    <w:p>
      <w:pPr>
        <w:pStyle w:val="Normal"/>
        <w:tabs>
          <w:tab w:val="clear" w:pos="720"/>
          <w:tab w:val="left" w:pos="1820" w:leader="none"/>
        </w:tabs>
        <w:ind w:firstLine="709" w:right="176"/>
        <w:rPr/>
      </w:pPr>
      <w:r>
        <w:rPr>
          <w:sz w:val="25"/>
          <w:szCs w:val="25"/>
        </w:rPr>
        <w:t xml:space="preserve">Расходы по освещению и опубликованию в средствах массовой информации вопросов в сфере социально-экономического, общественно-политического и культурного развития Тулунского муниципального района за 2025 год составили 2 672,8тыс. руб. </w:t>
      </w:r>
      <w:r>
        <w:rPr>
          <w:color w:val="000000"/>
          <w:sz w:val="25"/>
          <w:szCs w:val="25"/>
        </w:rPr>
        <w:t>или 100,0</w:t>
      </w:r>
      <w:r>
        <w:rPr>
          <w:sz w:val="25"/>
          <w:szCs w:val="25"/>
        </w:rPr>
        <w:t xml:space="preserve">% к плановым назначениям, в том числе расходы за счет </w:t>
      </w:r>
      <w:r>
        <w:rPr>
          <w:color w:val="000000"/>
          <w:sz w:val="25"/>
          <w:szCs w:val="25"/>
        </w:rPr>
        <w:t>субсидии юридическим лицам, индивидуальным предпринимателям, а также физическим лицам - производителям товаров, работ, услуг, осуществляющим деятельность на территории Тулунского муниципального района,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случае освещения и опубликования в средствах массовой информации вопросов в сфере социально-экономического, общественно-политического и культурного развития Тулунского муниципального района, в том числе деятельности мэра муниципального района, Администрации муниципального района и иных органов местного самоуправления Тулунского муниципального района составили в сумме 1 518,5 тыс. руб.</w:t>
      </w:r>
    </w:p>
    <w:p>
      <w:pPr>
        <w:pStyle w:val="Normal"/>
        <w:tabs>
          <w:tab w:val="clear" w:pos="720"/>
          <w:tab w:val="left" w:pos="1820" w:leader="none"/>
        </w:tabs>
        <w:ind w:firstLine="709" w:right="176"/>
        <w:rPr>
          <w:color w:val="C9211E"/>
        </w:rPr>
      </w:pPr>
      <w:r>
        <w:rPr>
          <w:color w:val="C9211E"/>
        </w:rPr>
      </w:r>
    </w:p>
    <w:p>
      <w:pPr>
        <w:pStyle w:val="Normal"/>
        <w:tabs>
          <w:tab w:val="clear" w:pos="720"/>
          <w:tab w:val="left" w:pos="1820" w:leader="none"/>
        </w:tabs>
        <w:ind w:firstLine="360" w:right="27"/>
        <w:jc w:val="center"/>
        <w:rPr/>
      </w:pPr>
      <w:r>
        <w:rPr>
          <w:b/>
          <w:sz w:val="25"/>
          <w:szCs w:val="25"/>
          <w:u w:val="single"/>
        </w:rPr>
        <w:t>По разделу 13 «Обслуживание государственного и муниципального долга»</w:t>
      </w:r>
    </w:p>
    <w:p>
      <w:pPr>
        <w:pStyle w:val="Normal"/>
        <w:tabs>
          <w:tab w:val="clear" w:pos="720"/>
          <w:tab w:val="left" w:pos="1820" w:leader="none"/>
        </w:tabs>
        <w:ind w:firstLine="360" w:right="27"/>
        <w:jc w:val="center"/>
        <w:rPr>
          <w:b/>
          <w:sz w:val="25"/>
          <w:szCs w:val="25"/>
          <w:u w:val="single"/>
        </w:rPr>
      </w:pPr>
      <w:r>
        <w:rPr>
          <w:b/>
          <w:sz w:val="25"/>
          <w:szCs w:val="25"/>
          <w:u w:val="single"/>
        </w:rPr>
      </w:r>
    </w:p>
    <w:p>
      <w:pPr>
        <w:pStyle w:val="Normal"/>
        <w:tabs>
          <w:tab w:val="clear" w:pos="720"/>
          <w:tab w:val="left" w:pos="60" w:leader="none"/>
          <w:tab w:val="left" w:pos="1820" w:leader="none"/>
        </w:tabs>
        <w:ind w:hanging="737" w:right="227"/>
        <w:rPr/>
      </w:pPr>
      <w:r>
        <w:rPr>
          <w:color w:val="000000"/>
          <w:sz w:val="25"/>
          <w:szCs w:val="25"/>
        </w:rPr>
        <w:t xml:space="preserve">                </w:t>
      </w:r>
      <w:r>
        <w:rPr>
          <w:color w:val="000000"/>
          <w:sz w:val="25"/>
          <w:szCs w:val="25"/>
        </w:rPr>
        <w:t>Выполнение плана  составляет 15,5 тыс. руб. при плане 112,0 тыс. рублей. Экономия образовалась в связи с отсутствием необходимости в расходах по оплате платежей по обслуживанию муниципальных долговых обязательств.</w:t>
      </w:r>
    </w:p>
    <w:p>
      <w:pPr>
        <w:pStyle w:val="Normal"/>
        <w:tabs>
          <w:tab w:val="clear" w:pos="720"/>
          <w:tab w:val="left" w:pos="60" w:leader="none"/>
          <w:tab w:val="left" w:pos="1820" w:leader="none"/>
        </w:tabs>
        <w:ind w:hanging="737" w:right="227"/>
        <w:rPr>
          <w:color w:val="000000"/>
          <w:sz w:val="25"/>
          <w:szCs w:val="25"/>
        </w:rPr>
      </w:pPr>
      <w:r>
        <w:rPr>
          <w:color w:val="000000"/>
          <w:sz w:val="25"/>
          <w:szCs w:val="25"/>
        </w:rPr>
      </w:r>
    </w:p>
    <w:p>
      <w:pPr>
        <w:pStyle w:val="Normal"/>
        <w:ind w:firstLine="360" w:right="27"/>
        <w:jc w:val="center"/>
        <w:rPr>
          <w:b/>
          <w:sz w:val="25"/>
          <w:szCs w:val="25"/>
          <w:u w:val="single"/>
        </w:rPr>
      </w:pPr>
      <w:r>
        <w:rPr>
          <w:b/>
          <w:sz w:val="25"/>
          <w:szCs w:val="25"/>
          <w:u w:val="single"/>
        </w:rPr>
        <w:t>По разделу 14 «Межбюджетные трансферты»</w:t>
      </w:r>
    </w:p>
    <w:p>
      <w:pPr>
        <w:pStyle w:val="Normal"/>
        <w:ind w:firstLine="360" w:right="27"/>
        <w:jc w:val="center"/>
        <w:rPr>
          <w:b/>
          <w:sz w:val="25"/>
          <w:szCs w:val="25"/>
          <w:u w:val="single"/>
          <w:shd w:fill="FFFF00" w:val="clear"/>
        </w:rPr>
      </w:pPr>
      <w:r>
        <w:rPr>
          <w:b/>
          <w:sz w:val="25"/>
          <w:szCs w:val="25"/>
          <w:u w:val="single"/>
          <w:shd w:fill="FFFF00" w:val="clear"/>
        </w:rPr>
      </w:r>
    </w:p>
    <w:p>
      <w:pPr>
        <w:pStyle w:val="Normal"/>
        <w:shd w:val="clear" w:color="auto" w:fill="FFFFFF"/>
        <w:ind w:firstLine="709" w:right="176"/>
        <w:rPr/>
      </w:pPr>
      <w:r>
        <w:rPr>
          <w:sz w:val="25"/>
          <w:szCs w:val="25"/>
        </w:rPr>
        <w:t>Объём межбюджетных трансфертов, передаваемых бюджетам поселений из бюджета Тулунского муниципального района, составил 326 414,1 тыс. руб., или 100,0% к плановым назначениям, из них:</w:t>
      </w:r>
    </w:p>
    <w:p>
      <w:pPr>
        <w:pStyle w:val="Normal"/>
        <w:numPr>
          <w:ilvl w:val="0"/>
          <w:numId w:val="6"/>
        </w:numPr>
        <w:shd w:val="clear" w:color="auto" w:fill="FFFFFF"/>
        <w:tabs>
          <w:tab w:val="clear" w:pos="720"/>
          <w:tab w:val="left" w:pos="510" w:leader="none"/>
          <w:tab w:val="left" w:pos="1080" w:leader="none"/>
        </w:tabs>
        <w:ind w:hanging="0" w:left="0" w:right="0"/>
        <w:rPr/>
      </w:pPr>
      <w:r>
        <w:rPr>
          <w:sz w:val="25"/>
          <w:szCs w:val="25"/>
        </w:rPr>
        <w:t xml:space="preserve">дотация на выравнивание бюджетной обеспеченности поселений в сумме 301 414,1 тыс. руб., в том числе за счет субвенций из областного бюджета местным бюджетам на выравнивание уровня бюджетной обеспеченности поселений Иркутской области, входящих в состав муниципального района Иркутской области в сумме </w:t>
      </w:r>
      <w:r>
        <w:rPr>
          <w:color w:val="000000"/>
          <w:sz w:val="25"/>
          <w:szCs w:val="25"/>
        </w:rPr>
        <w:t>286 414,1</w:t>
      </w:r>
      <w:r>
        <w:rPr>
          <w:color w:val="000000"/>
        </w:rPr>
        <w:t xml:space="preserve"> </w:t>
      </w:r>
      <w:r>
        <w:rPr>
          <w:sz w:val="25"/>
          <w:szCs w:val="25"/>
        </w:rPr>
        <w:t xml:space="preserve">тыс. руб. </w:t>
      </w:r>
      <w:r>
        <w:rPr/>
        <w:t>Распределение дотаций на выравнивание бюджетной обеспеченности поселений Тулунского муниципального района осуществлялось, с учетом требований бюджетного законодательства, в соответствии с Законом Иркутской области от 22 октября 2013 года №74-ОЗ "О межбюджетных трансфертах и нормативах отчислений доходов в местные бюджеты", Законом Иркутской области от 30 ноября 2021 года №121-ОЗ «О наделении органов местного самоуправления муниципальных районов Иркутской области государственными полномочиями по расчету и предоставлению дотаций на выравнивание бюджетной обеспеченности поселений, входящих в состав муниципального района Иркутской области, бюджетам поселений за счет средств областного бюджета».</w:t>
      </w:r>
    </w:p>
    <w:p>
      <w:pPr>
        <w:pStyle w:val="Normal"/>
        <w:numPr>
          <w:ilvl w:val="0"/>
          <w:numId w:val="6"/>
        </w:numPr>
        <w:shd w:val="clear" w:color="auto" w:fill="FFFFFF"/>
        <w:tabs>
          <w:tab w:val="clear" w:pos="720"/>
          <w:tab w:val="left" w:pos="510" w:leader="none"/>
          <w:tab w:val="left" w:pos="1080" w:leader="none"/>
        </w:tabs>
        <w:ind w:hanging="0" w:left="0" w:right="0"/>
        <w:rPr/>
      </w:pPr>
      <w:r>
        <w:rPr>
          <w:color w:val="000000"/>
          <w:sz w:val="25"/>
          <w:szCs w:val="25"/>
        </w:rPr>
        <w:t xml:space="preserve">иные </w:t>
      </w:r>
      <w:r>
        <w:rPr>
          <w:sz w:val="25"/>
          <w:szCs w:val="25"/>
        </w:rPr>
        <w:t>межбюджетные трансферты общего характера,</w:t>
      </w:r>
      <w:r>
        <w:rPr>
          <w:bCs/>
          <w:color w:val="000000"/>
          <w:sz w:val="25"/>
          <w:szCs w:val="25"/>
        </w:rPr>
        <w:t xml:space="preserve"> предоставляемые из бюджета Тулунского муниципального района бюджетам сельских поселений Тулунского муниципального района  в соответствии с решением Думы Тулунского муниципального района от </w:t>
      </w:r>
      <w:r>
        <w:rPr>
          <w:rFonts w:eastAsia="Calibri"/>
          <w:bCs/>
          <w:color w:val="000000"/>
          <w:sz w:val="25"/>
          <w:szCs w:val="25"/>
        </w:rPr>
        <w:t xml:space="preserve">26.05.2020г. №153 «Об утверждении </w:t>
      </w:r>
      <w:hyperlink w:anchor="Par37">
        <w:r>
          <w:rPr>
            <w:rStyle w:val="ListLabel82"/>
            <w:rFonts w:eastAsia="Calibri"/>
            <w:bCs/>
            <w:color w:val="000000"/>
            <w:sz w:val="25"/>
            <w:szCs w:val="25"/>
          </w:rPr>
          <w:t>Порядк</w:t>
        </w:r>
      </w:hyperlink>
      <w:r>
        <w:rPr>
          <w:rStyle w:val="Hyperlink"/>
          <w:rFonts w:eastAsia="Calibri"/>
          <w:bCs/>
          <w:color w:val="000000"/>
          <w:sz w:val="25"/>
          <w:szCs w:val="25"/>
          <w:u w:val="none"/>
        </w:rPr>
        <w:t xml:space="preserve">а </w:t>
      </w:r>
      <w:r>
        <w:rPr>
          <w:rFonts w:eastAsia="Calibri"/>
          <w:bCs/>
          <w:color w:val="000000"/>
          <w:sz w:val="25"/>
          <w:szCs w:val="25"/>
        </w:rPr>
        <w:t>предоставления иных межбюджетных трансфертов из бюджета Тулунского муниципального района бюджетам сельских поселений в целях финансового обеспечения расходных обязательств поселений»</w:t>
      </w:r>
      <w:r>
        <w:rPr>
          <w:bCs/>
          <w:color w:val="000000"/>
          <w:sz w:val="25"/>
          <w:szCs w:val="25"/>
        </w:rPr>
        <w:t xml:space="preserve"> </w:t>
      </w:r>
      <w:r>
        <w:rPr>
          <w:sz w:val="25"/>
          <w:szCs w:val="25"/>
        </w:rPr>
        <w:t>в сумме 25 000,0 тыс. руб.</w:t>
      </w:r>
    </w:p>
    <w:p>
      <w:pPr>
        <w:pStyle w:val="Normal"/>
        <w:tabs>
          <w:tab w:val="clear" w:pos="720"/>
          <w:tab w:val="left" w:pos="1418" w:leader="none"/>
        </w:tabs>
        <w:ind w:firstLine="1429" w:right="176"/>
        <w:jc w:val="left"/>
        <w:rPr>
          <w:bCs/>
          <w:color w:val="000000"/>
          <w:sz w:val="25"/>
          <w:szCs w:val="25"/>
        </w:rPr>
      </w:pPr>
      <w:r>
        <w:rPr>
          <w:bCs/>
          <w:color w:val="000000"/>
          <w:sz w:val="25"/>
          <w:szCs w:val="25"/>
        </w:rPr>
      </w:r>
    </w:p>
    <w:p>
      <w:pPr>
        <w:pStyle w:val="Normal"/>
        <w:ind w:hanging="0" w:right="0"/>
        <w:rPr/>
      </w:pPr>
      <w:r>
        <w:rPr>
          <w:rFonts w:eastAsia="Courier New" w:cs="Courier New"/>
          <w:b/>
          <w:sz w:val="25"/>
          <w:szCs w:val="25"/>
        </w:rPr>
        <w:t xml:space="preserve">    </w:t>
      </w:r>
      <w:r>
        <w:rPr>
          <w:b/>
          <w:sz w:val="25"/>
          <w:szCs w:val="25"/>
        </w:rPr>
        <w:t xml:space="preserve">В структуре расходов по экономическому содержанию </w:t>
      </w:r>
      <w:r>
        <w:rPr>
          <w:sz w:val="25"/>
          <w:szCs w:val="25"/>
        </w:rPr>
        <w:t>наиболее значимая часть бюджетных ассигнований направлена на финансирование:</w:t>
      </w:r>
    </w:p>
    <w:p>
      <w:pPr>
        <w:pStyle w:val="Normal"/>
        <w:ind w:firstLine="720" w:right="27"/>
        <w:rPr>
          <w:sz w:val="25"/>
          <w:szCs w:val="25"/>
        </w:rPr>
      </w:pPr>
      <w:r>
        <w:rPr>
          <w:sz w:val="25"/>
          <w:szCs w:val="25"/>
        </w:rPr>
        <w:t xml:space="preserve"> </w:t>
      </w:r>
    </w:p>
    <w:p>
      <w:pPr>
        <w:pStyle w:val="Normal"/>
        <w:ind w:firstLine="540" w:right="27"/>
        <w:rPr/>
      </w:pPr>
      <w:r>
        <w:rPr>
          <w:b/>
          <w:sz w:val="25"/>
          <w:szCs w:val="25"/>
        </w:rPr>
        <w:t xml:space="preserve">1) социально – значимых расходов </w:t>
      </w:r>
      <w:r>
        <w:rPr>
          <w:sz w:val="25"/>
          <w:szCs w:val="25"/>
        </w:rPr>
        <w:t xml:space="preserve">– </w:t>
      </w:r>
      <w:r>
        <w:rPr>
          <w:b/>
          <w:sz w:val="25"/>
          <w:szCs w:val="25"/>
        </w:rPr>
        <w:t xml:space="preserve">1 599 926,6 </w:t>
      </w:r>
      <w:r>
        <w:rPr>
          <w:b/>
          <w:bCs/>
          <w:sz w:val="25"/>
          <w:szCs w:val="25"/>
        </w:rPr>
        <w:t>тыс. руб</w:t>
      </w:r>
      <w:r>
        <w:rPr>
          <w:sz w:val="25"/>
          <w:szCs w:val="25"/>
        </w:rPr>
        <w:t>. или 71,4% от общего объема расходов, рост по сравнению с 2024 годом на 145 415,3 тыс. руб. (9,9%), из них:</w:t>
      </w:r>
    </w:p>
    <w:p>
      <w:pPr>
        <w:pStyle w:val="Normal"/>
        <w:ind w:firstLine="540" w:right="27"/>
        <w:rPr/>
      </w:pPr>
      <w:r>
        <w:rPr>
          <w:sz w:val="25"/>
          <w:szCs w:val="25"/>
        </w:rPr>
        <w:t>- на выплату заработной платы с начислениями на нее 1 516 298,5 тыс. руб. или 67,6% от общей суммы расходов, рост по сравнению с 2024 годом на 129 287,4 тыс. руб. (9,3%);</w:t>
      </w:r>
    </w:p>
    <w:p>
      <w:pPr>
        <w:pStyle w:val="Normal"/>
        <w:ind w:firstLine="540" w:right="27"/>
        <w:rPr/>
      </w:pPr>
      <w:r>
        <w:rPr>
          <w:sz w:val="25"/>
          <w:szCs w:val="25"/>
        </w:rPr>
        <w:t>- на оплату коммунальных услуг в сумме 65 936,8 тыс. руб. или 2,9% от общей суммы расходов, рост  по сравнению с 2024 годом на 16 849,7 тыс. руб. (32,3%);</w:t>
      </w:r>
    </w:p>
    <w:p>
      <w:pPr>
        <w:pStyle w:val="Normal"/>
        <w:ind w:firstLine="540" w:right="27"/>
        <w:rPr/>
      </w:pPr>
      <w:r>
        <w:rPr>
          <w:sz w:val="25"/>
          <w:szCs w:val="25"/>
        </w:rPr>
        <w:t xml:space="preserve">- на социальные выплаты – 17 691,2 тыс. руб. или 0,8% от общей суммы расходов, </w:t>
      </w:r>
      <w:r>
        <w:rPr>
          <w:sz w:val="25"/>
          <w:szCs w:val="25"/>
          <w:lang w:val="ru-RU"/>
        </w:rPr>
        <w:t>рост</w:t>
      </w:r>
      <w:r>
        <w:rPr>
          <w:sz w:val="25"/>
          <w:szCs w:val="25"/>
        </w:rPr>
        <w:t xml:space="preserve"> по сравнению с 2024 годом на 2 278,1 тыс. руб. (14,8%). </w:t>
      </w:r>
    </w:p>
    <w:p>
      <w:pPr>
        <w:pStyle w:val="Normal"/>
        <w:ind w:firstLine="540" w:right="27"/>
        <w:rPr/>
      </w:pPr>
      <w:r>
        <w:rPr>
          <w:b/>
          <w:bCs/>
          <w:sz w:val="25"/>
          <w:szCs w:val="25"/>
        </w:rPr>
        <w:t>2) первоочередных расходов – 84 984,5 тыс. руб.</w:t>
      </w:r>
      <w:r>
        <w:rPr>
          <w:sz w:val="25"/>
          <w:szCs w:val="25"/>
        </w:rPr>
        <w:t xml:space="preserve"> или 3,8 % от общего объема расходов, рост по сравнению с 2024 годом на 10 395,4 тыс. руб. (13,9%) из них: </w:t>
      </w:r>
    </w:p>
    <w:p>
      <w:pPr>
        <w:pStyle w:val="Normal"/>
        <w:tabs>
          <w:tab w:val="clear" w:pos="720"/>
          <w:tab w:val="left" w:pos="900" w:leader="none"/>
        </w:tabs>
        <w:ind w:firstLine="540" w:right="27"/>
        <w:rPr/>
      </w:pPr>
      <w:r>
        <w:rPr>
          <w:sz w:val="25"/>
          <w:szCs w:val="25"/>
        </w:rPr>
        <w:t xml:space="preserve">- на питание в образовательных учреждениях в сумме 53 665,1 тыс. руб. или 2,5% от общей суммы расходов, рост по сравнению с 2024 годом на 1 329,4  тыс. руб. (2,5%), в том числе  за счет средств субсидии на организацию отдыха и оздоровление детей в сумме </w:t>
      </w:r>
      <w:r>
        <w:rPr>
          <w:color w:val="000000"/>
          <w:sz w:val="25"/>
          <w:szCs w:val="25"/>
        </w:rPr>
        <w:t>3 148,0 тыс. руб.;</w:t>
      </w:r>
    </w:p>
    <w:p>
      <w:pPr>
        <w:pStyle w:val="Normal"/>
        <w:ind w:firstLine="540" w:right="27"/>
        <w:rPr>
          <w:sz w:val="25"/>
          <w:szCs w:val="25"/>
        </w:rPr>
      </w:pPr>
      <w:r>
        <w:rPr>
          <w:sz w:val="25"/>
          <w:szCs w:val="25"/>
        </w:rPr>
        <w:t>- расходы на ГСМ в сумме 20 718,6 тыс. руб. или 0,9% от общей суммы расходов, рост по сравнению с 2024 годом на 6 359,7 тыс. руб. (44,3%);</w:t>
      </w:r>
    </w:p>
    <w:p>
      <w:pPr>
        <w:pStyle w:val="Normal"/>
        <w:ind w:firstLine="540" w:right="27"/>
        <w:rPr/>
      </w:pPr>
      <w:r>
        <w:rPr>
          <w:sz w:val="25"/>
          <w:szCs w:val="25"/>
        </w:rPr>
        <w:t xml:space="preserve">- на услуги связи – 8 205,2 тыс. руб. или 0,4% от общей суммы расходов, рост по сравнению с 2024 годом на 1 026,1 тыс. руб. (14,3%); </w:t>
      </w:r>
    </w:p>
    <w:p>
      <w:pPr>
        <w:pStyle w:val="Normal"/>
        <w:ind w:firstLine="540" w:right="27"/>
        <w:rPr/>
      </w:pPr>
      <w:r>
        <w:rPr>
          <w:sz w:val="25"/>
          <w:szCs w:val="25"/>
        </w:rPr>
        <w:t>- расходы на транспортные услуги – 2 395,6 тыс. руб. или 0,1% от общей суммы расходов, рост по сравнению с 2024 годом на 1 680,2 тыс. руб. (234,8%);</w:t>
      </w:r>
    </w:p>
    <w:p>
      <w:pPr>
        <w:pStyle w:val="Normal"/>
        <w:ind w:firstLine="540" w:right="27"/>
        <w:rPr/>
      </w:pPr>
      <w:r>
        <w:rPr>
          <w:b/>
          <w:sz w:val="25"/>
          <w:szCs w:val="25"/>
        </w:rPr>
        <w:t xml:space="preserve">3) расходы на прочие нужды – 557 321,8 </w:t>
      </w:r>
      <w:r>
        <w:rPr>
          <w:b/>
          <w:bCs/>
          <w:sz w:val="25"/>
          <w:szCs w:val="25"/>
        </w:rPr>
        <w:t>тыс. руб</w:t>
      </w:r>
      <w:r>
        <w:rPr>
          <w:sz w:val="25"/>
          <w:szCs w:val="25"/>
        </w:rPr>
        <w:t xml:space="preserve">. или 24,8% от общего объема расходов, рост по сравнению с 2024 годом на 28 375,6 тыс. руб. (5,4%), из них: </w:t>
      </w:r>
    </w:p>
    <w:p>
      <w:pPr>
        <w:pStyle w:val="Normal"/>
        <w:tabs>
          <w:tab w:val="clear" w:pos="720"/>
          <w:tab w:val="left" w:pos="900" w:leader="none"/>
        </w:tabs>
        <w:ind w:hanging="0" w:right="0"/>
        <w:rPr/>
      </w:pPr>
      <w:r>
        <w:rPr>
          <w:sz w:val="25"/>
          <w:szCs w:val="25"/>
        </w:rPr>
        <w:t xml:space="preserve">- расходы на межбюджетные трансферты в сумме 326 414,1 тыс. руб. или 14,6% от общей суммы расходов, в том числе за счет средств областного бюджета на выравнивание уровня бюджетной обеспеченности поселений в сумме 286 414,1 тыс. руб. Увеличение по сравнению с 2024 годом на 21 927,9 тыс. руб. (7,2%); </w:t>
      </w:r>
    </w:p>
    <w:p>
      <w:pPr>
        <w:pStyle w:val="Normal"/>
        <w:ind w:hanging="0" w:right="0"/>
        <w:rPr>
          <w:sz w:val="25"/>
          <w:szCs w:val="25"/>
        </w:rPr>
      </w:pPr>
      <w:r>
        <w:rPr>
          <w:sz w:val="25"/>
          <w:szCs w:val="25"/>
        </w:rPr>
        <w:t>- расходы на увеличение стоимости основных средств в сумме 24 314,8 тыс. руб. или 1,1% от общей суммы расходов. Снижение по сравнению с 2024 годом на 5 672,5 тыс. руб. (18,9%);</w:t>
      </w:r>
    </w:p>
    <w:p>
      <w:pPr>
        <w:pStyle w:val="Normal"/>
        <w:ind w:hanging="0" w:right="0"/>
        <w:rPr/>
      </w:pPr>
      <w:r>
        <w:rPr>
          <w:sz w:val="25"/>
          <w:szCs w:val="25"/>
        </w:rPr>
        <w:t xml:space="preserve">- сумма прочих расходов, не отмеченных ранее - в размере 206 592,9 тыс. руб., из них </w:t>
      </w:r>
      <w:r>
        <w:rPr>
          <w:rFonts w:eastAsia="Calibri"/>
          <w:color w:val="000000"/>
          <w:spacing w:val="-6"/>
          <w:sz w:val="25"/>
          <w:szCs w:val="25"/>
          <w:shd w:fill="FFFFFF" w:val="clear"/>
        </w:rPr>
        <w:t>в нарушение статьи 34 Бюджетного кодекса РФ, учреждениями Тулунского муниципального района</w:t>
      </w:r>
      <w:r>
        <w:rPr>
          <w:rStyle w:val="1"/>
          <w:rFonts w:cs="Times New Roman"/>
          <w:color w:val="000000"/>
          <w:shd w:fill="FFFFFF" w:val="clear"/>
        </w:rPr>
        <w:t xml:space="preserve"> </w:t>
      </w:r>
      <w:r>
        <w:rPr>
          <w:rFonts w:eastAsia="Calibri"/>
          <w:color w:val="000000"/>
          <w:spacing w:val="-6"/>
          <w:sz w:val="25"/>
          <w:szCs w:val="25"/>
          <w:shd w:fill="FFFFFF" w:val="clear"/>
        </w:rPr>
        <w:t>допущено неэффективное использование бюджетных средств в сумме 593,5 тыс. руб., выразившиеся в уплате ш</w:t>
      </w:r>
      <w:r>
        <w:rPr>
          <w:sz w:val="25"/>
          <w:szCs w:val="25"/>
        </w:rPr>
        <w:t>трафов за нарушение законодательства о налогах и сборах, законодательства о страховых взносах</w:t>
      </w:r>
      <w:r>
        <w:rPr>
          <w:rFonts w:eastAsia="Calibri"/>
          <w:color w:val="000000"/>
          <w:spacing w:val="-6"/>
          <w:sz w:val="25"/>
          <w:szCs w:val="25"/>
          <w:shd w:fill="FFFFFF" w:val="clear"/>
        </w:rPr>
        <w:t xml:space="preserve"> (88,1 тыс. руб.); в уплате ш</w:t>
      </w:r>
      <w:r>
        <w:rPr>
          <w:sz w:val="25"/>
          <w:szCs w:val="25"/>
        </w:rPr>
        <w:t xml:space="preserve">трафов за нарушение законодательства о закупках и нарушение условий контрактов (договоров) </w:t>
      </w:r>
      <w:r>
        <w:rPr>
          <w:rFonts w:eastAsia="Calibri"/>
          <w:color w:val="000000"/>
          <w:spacing w:val="-6"/>
          <w:sz w:val="25"/>
          <w:szCs w:val="25"/>
          <w:shd w:fill="FFFFFF" w:val="clear"/>
        </w:rPr>
        <w:t>(77,9 тыс. руб.); в уплате д</w:t>
      </w:r>
      <w:r>
        <w:rPr>
          <w:sz w:val="25"/>
          <w:szCs w:val="25"/>
        </w:rPr>
        <w:t xml:space="preserve">ругих экономических санкций </w:t>
      </w:r>
      <w:r>
        <w:rPr>
          <w:rFonts w:eastAsia="Calibri"/>
          <w:color w:val="000000"/>
          <w:spacing w:val="-6"/>
          <w:sz w:val="25"/>
          <w:szCs w:val="25"/>
          <w:shd w:fill="FFFFFF" w:val="clear"/>
        </w:rPr>
        <w:t>(427,5 тыс. руб.)</w:t>
      </w:r>
    </w:p>
    <w:p>
      <w:pPr>
        <w:pStyle w:val="ConsPlusNormal"/>
        <w:ind w:firstLine="227" w:right="176"/>
        <w:jc w:val="both"/>
        <w:rPr/>
      </w:pPr>
      <w:r>
        <w:rPr>
          <w:rFonts w:eastAsia="Calibri" w:cs="Times New Roman" w:ascii="Times New Roman" w:hAnsi="Times New Roman"/>
          <w:color w:val="000000"/>
          <w:spacing w:val="-6"/>
          <w:sz w:val="25"/>
          <w:szCs w:val="25"/>
        </w:rPr>
        <w:t>В соответствии  с пунктом 4 статьи 242.2  Бюджетного кодекса Российской Федерации разработан и утвержден приказом Комитета по финансам администрации Тулунского муниципального района от 31.12.2014г № 835(о.д.) ( с изменениями от 26.09.2018г №97(о.д.) порядок ведения учета и осуществления хранения Комитетом по финансам администрации Тулунского муниципального района  исполнительных документов и решений налогового органа, предусматривающих обращение взыскания на средства муниципальных  казенных учреждений, и  документов, связанных с их исполнением.</w:t>
      </w:r>
    </w:p>
    <w:p>
      <w:pPr>
        <w:pStyle w:val="Normal"/>
        <w:tabs>
          <w:tab w:val="clear" w:pos="720"/>
          <w:tab w:val="left" w:pos="1080" w:leader="none"/>
        </w:tabs>
        <w:ind w:hanging="0" w:right="176"/>
        <w:rPr/>
      </w:pPr>
      <w:r>
        <w:rPr>
          <w:rFonts w:eastAsia="Calibri"/>
          <w:color w:val="333333"/>
          <w:sz w:val="25"/>
          <w:szCs w:val="25"/>
        </w:rPr>
        <w:t xml:space="preserve">  </w:t>
      </w:r>
      <w:r>
        <w:rPr>
          <w:rFonts w:eastAsia="Calibri"/>
          <w:color w:val="333333"/>
          <w:sz w:val="25"/>
          <w:szCs w:val="25"/>
        </w:rPr>
        <w:t xml:space="preserve">Денежные обязательства по судебным решениям судов судебной системы Российской Федерации в отчетном периоде приняты и исполнены на сумму 462,8 тыс. рублей. </w:t>
      </w:r>
      <w:r>
        <w:rPr>
          <w:rFonts w:eastAsia="Courier New"/>
          <w:color w:val="333333"/>
          <w:sz w:val="25"/>
          <w:szCs w:val="25"/>
        </w:rPr>
        <w:t>Исполнительные листы – 2 шт. к</w:t>
      </w:r>
      <w:r>
        <w:rPr>
          <w:rFonts w:eastAsia="Calibri"/>
          <w:color w:val="333333"/>
          <w:sz w:val="25"/>
          <w:szCs w:val="25"/>
        </w:rPr>
        <w:t xml:space="preserve"> </w:t>
      </w:r>
      <w:r>
        <w:rPr>
          <w:rFonts w:eastAsia="Courier New"/>
          <w:color w:val="333333"/>
          <w:sz w:val="25"/>
          <w:szCs w:val="25"/>
        </w:rPr>
        <w:t>МОУ "Шерагульская ООШ" и Администрации Тулунского муниципального района; Постановление мирового судьи судебного участок № 89 г. Тулуна и Тулунского района Иркутской области -1 шт. к МОУ "Икейская СОШ").  Исполнительные документы по состоянию на 01.01.2026 исполнены в полном объеме.</w:t>
      </w:r>
      <w:r>
        <w:rPr>
          <w:rFonts w:eastAsia="Calibri"/>
          <w:color w:val="333333"/>
          <w:sz w:val="25"/>
          <w:szCs w:val="25"/>
        </w:rPr>
        <w:t xml:space="preserve"> </w:t>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jc w:val="center"/>
        <w:rPr>
          <w:b/>
          <w:bCs/>
        </w:rPr>
      </w:pPr>
      <w:r>
        <w:rPr>
          <w:rFonts w:eastAsia="Calibri"/>
          <w:b/>
          <w:bCs/>
          <w:color w:val="34343C"/>
          <w:sz w:val="25"/>
          <w:szCs w:val="25"/>
          <w:shd w:fill="FFFFFF" w:val="clear"/>
        </w:rPr>
        <w:t>6. Резервный фонд Администрации Тулунского</w:t>
      </w:r>
    </w:p>
    <w:p>
      <w:pPr>
        <w:pStyle w:val="Normal"/>
        <w:tabs>
          <w:tab w:val="clear" w:pos="720"/>
          <w:tab w:val="left" w:pos="1080" w:leader="none"/>
        </w:tabs>
        <w:ind w:hanging="0" w:right="176"/>
        <w:jc w:val="center"/>
        <w:rPr>
          <w:b/>
          <w:bCs/>
        </w:rPr>
      </w:pPr>
      <w:r>
        <w:rPr>
          <w:rFonts w:eastAsia="Calibri"/>
          <w:b/>
          <w:bCs/>
          <w:color w:val="34343C"/>
          <w:sz w:val="25"/>
          <w:szCs w:val="25"/>
          <w:shd w:fill="FFFFFF" w:val="clear"/>
        </w:rPr>
        <w:t xml:space="preserve"> </w:t>
      </w:r>
      <w:r>
        <w:rPr>
          <w:rFonts w:eastAsia="Calibri"/>
          <w:b/>
          <w:bCs/>
          <w:color w:val="34343C"/>
          <w:sz w:val="25"/>
          <w:szCs w:val="25"/>
          <w:shd w:fill="FFFFFF" w:val="clear"/>
        </w:rPr>
        <w:t>муниципального района</w:t>
      </w:r>
    </w:p>
    <w:p>
      <w:pPr>
        <w:pStyle w:val="Normal"/>
        <w:tabs>
          <w:tab w:val="clear" w:pos="720"/>
          <w:tab w:val="left" w:pos="1080" w:leader="none"/>
        </w:tabs>
        <w:ind w:hanging="0" w:right="176"/>
        <w:jc w:val="center"/>
        <w:rPr>
          <w:rFonts w:eastAsia="Calibri"/>
          <w:color w:val="34343C"/>
          <w:sz w:val="25"/>
          <w:szCs w:val="25"/>
          <w:shd w:fill="FFFFFF" w:val="clear"/>
        </w:rPr>
      </w:pPr>
      <w:r>
        <w:rPr>
          <w:rFonts w:eastAsia="Calibri"/>
          <w:color w:val="34343C"/>
          <w:sz w:val="25"/>
          <w:szCs w:val="25"/>
          <w:shd w:fill="FFFFFF" w:val="clear"/>
        </w:rPr>
      </w:r>
    </w:p>
    <w:p>
      <w:pPr>
        <w:pStyle w:val="Normal"/>
        <w:tabs>
          <w:tab w:val="clear" w:pos="720"/>
          <w:tab w:val="left" w:pos="1080" w:leader="none"/>
        </w:tabs>
        <w:ind w:firstLine="227" w:right="170"/>
        <w:rPr>
          <w:sz w:val="25"/>
          <w:szCs w:val="25"/>
        </w:rPr>
      </w:pPr>
      <w:r>
        <w:rPr>
          <w:rFonts w:eastAsia="Calibri"/>
          <w:color w:val="34343C"/>
          <w:sz w:val="25"/>
          <w:szCs w:val="25"/>
          <w:shd w:fill="FFFFFF" w:val="clear"/>
        </w:rPr>
        <w:t xml:space="preserve">В соответствии со статьей  9 решения Думы Тулунского муниципального района  от 24.12.2024г № 121 «О бюджете Тулунского муниципального района на 2025 год и на плановый период 2026 и 2027 годов» предусмотрено, что в  расходной части  бюджета Тулунского муниципального района создается  резервный фонд  администрации Тулунского муниципального района. Сводной бюджетной росписью на 2025год объем ассигнований резервного фонда предусмотрен в сумме 2 999,8 тыс.руб. Согласно отчету об использовании бюджетных ассигнований резервного фонда  администрации Тулунского муниципального района в 2025 году </w:t>
      </w:r>
      <w:r>
        <w:rPr>
          <w:color w:val="34343C"/>
          <w:sz w:val="25"/>
          <w:szCs w:val="25"/>
        </w:rPr>
        <w:t xml:space="preserve"> исполнение составило </w:t>
      </w:r>
      <w:r>
        <w:rPr>
          <w:rFonts w:eastAsia="Calibri"/>
          <w:color w:val="34343C"/>
          <w:sz w:val="25"/>
          <w:szCs w:val="25"/>
          <w:shd w:fill="FFFFFF" w:val="clear"/>
        </w:rPr>
        <w:t xml:space="preserve">2 999,8 </w:t>
      </w:r>
      <w:r>
        <w:rPr>
          <w:color w:val="34343C"/>
          <w:sz w:val="25"/>
          <w:szCs w:val="25"/>
        </w:rPr>
        <w:t xml:space="preserve"> тыс. руб.(100,0 %). Средства резервного фонда направлены на приобретении угля.</w:t>
      </w:r>
    </w:p>
    <w:p>
      <w:pPr>
        <w:pStyle w:val="Normal"/>
        <w:tabs>
          <w:tab w:val="clear" w:pos="720"/>
          <w:tab w:val="left" w:pos="1080" w:leader="none"/>
        </w:tabs>
        <w:ind w:hanging="0" w:right="176"/>
        <w:rPr>
          <w:color w:val="34343C"/>
        </w:rPr>
      </w:pPr>
      <w:r>
        <w:rPr>
          <w:color w:val="34343C"/>
        </w:rPr>
      </w:r>
    </w:p>
    <w:p>
      <w:pPr>
        <w:pStyle w:val="Normal"/>
        <w:tabs>
          <w:tab w:val="clear" w:pos="720"/>
          <w:tab w:val="left" w:pos="1080" w:leader="none"/>
        </w:tabs>
        <w:ind w:hanging="0" w:right="176"/>
        <w:rPr>
          <w:color w:val="34343C"/>
        </w:rPr>
      </w:pPr>
      <w:r>
        <w:rPr>
          <w:color w:val="34343C"/>
        </w:rPr>
      </w:r>
    </w:p>
    <w:p>
      <w:pPr>
        <w:pStyle w:val="Normal"/>
        <w:ind w:hanging="0" w:right="0"/>
        <w:jc w:val="center"/>
        <w:rPr>
          <w:b/>
          <w:bCs/>
          <w:sz w:val="25"/>
          <w:szCs w:val="25"/>
        </w:rPr>
      </w:pPr>
      <w:r>
        <w:rPr>
          <w:b/>
          <w:bCs/>
          <w:sz w:val="25"/>
          <w:szCs w:val="25"/>
        </w:rPr>
        <w:t xml:space="preserve">7. </w:t>
      </w:r>
      <w:r>
        <w:rPr>
          <w:b/>
          <w:bCs/>
          <w:color w:val="34343C"/>
          <w:sz w:val="25"/>
          <w:szCs w:val="25"/>
        </w:rPr>
        <w:t>Использование бюджетных ассигнований дорожного фонда</w:t>
      </w:r>
    </w:p>
    <w:p>
      <w:pPr>
        <w:pStyle w:val="Normal"/>
        <w:ind w:hanging="0" w:right="0"/>
        <w:jc w:val="center"/>
        <w:rPr>
          <w:b/>
          <w:bCs/>
          <w:sz w:val="25"/>
          <w:szCs w:val="25"/>
        </w:rPr>
      </w:pPr>
      <w:r>
        <w:rPr>
          <w:b/>
          <w:bCs/>
          <w:color w:val="34343C"/>
          <w:sz w:val="25"/>
          <w:szCs w:val="25"/>
        </w:rPr>
        <w:t xml:space="preserve"> </w:t>
      </w:r>
      <w:r>
        <w:rPr>
          <w:b/>
          <w:bCs/>
          <w:color w:val="34343C"/>
          <w:sz w:val="25"/>
          <w:szCs w:val="25"/>
        </w:rPr>
        <w:t>Тулунского муниципального района</w:t>
      </w:r>
    </w:p>
    <w:p>
      <w:pPr>
        <w:pStyle w:val="Normal"/>
        <w:ind w:hanging="0" w:right="0"/>
        <w:jc w:val="center"/>
        <w:rPr>
          <w:rFonts w:ascii="YS Text;sans-serif" w:hAnsi="YS Text;sans-serif"/>
          <w:color w:val="34343C"/>
          <w:sz w:val="23"/>
        </w:rPr>
      </w:pPr>
      <w:r>
        <w:rPr>
          <w:rFonts w:ascii="YS Text;sans-serif" w:hAnsi="YS Text;sans-serif"/>
          <w:color w:val="34343C"/>
          <w:sz w:val="23"/>
        </w:rPr>
      </w:r>
    </w:p>
    <w:p>
      <w:pPr>
        <w:pStyle w:val="Normal"/>
        <w:tabs>
          <w:tab w:val="clear" w:pos="720"/>
          <w:tab w:val="left" w:pos="1080" w:leader="none"/>
        </w:tabs>
        <w:ind w:firstLine="283" w:right="170"/>
        <w:rPr>
          <w:sz w:val="25"/>
          <w:szCs w:val="25"/>
        </w:rPr>
      </w:pPr>
      <w:r>
        <w:rPr>
          <w:rFonts w:eastAsia="Calibri"/>
          <w:color w:val="34343C"/>
          <w:sz w:val="25"/>
          <w:szCs w:val="25"/>
          <w:shd w:fill="FFFFFF" w:val="clear"/>
        </w:rPr>
        <w:t xml:space="preserve">В соответствии со статьей  11 решения Думы Тулунского муниципального района  от 24.12.2024г № 121 «О бюджете Тулунского муниципального района на 2025 год и на плановый период 2026 и 2027 годов» ( с изменениями)  </w:t>
      </w:r>
      <w:r>
        <w:rPr>
          <w:color w:val="34343C"/>
          <w:sz w:val="25"/>
          <w:szCs w:val="25"/>
        </w:rPr>
        <w:t>объем бюджетных ассигнований дорожного фонда Тулунского муниципального района на 2025  год утвержден в сумме  в сумме 57 730,0тыс.руб.</w:t>
      </w:r>
    </w:p>
    <w:p>
      <w:pPr>
        <w:pStyle w:val="Normal"/>
        <w:ind w:hanging="0" w:right="0"/>
        <w:rPr>
          <w:sz w:val="25"/>
          <w:szCs w:val="25"/>
        </w:rPr>
      </w:pPr>
      <w:r>
        <w:rPr>
          <w:color w:val="34343C"/>
          <w:sz w:val="25"/>
          <w:szCs w:val="25"/>
        </w:rPr>
        <w:t>Муниципальный дорожный фонд создан  в соответствии с требованиями п.5 ст. 179.4 Бюджетного кодекса РФ, согласно решения Думы Тулунского муниципального района от 26.11.2013г. №52 «О создании  муниципального дорожного фонда Тулунского муниципального района и об утверждении Порядка его формирования и использования». Фактически дорожный фонд составил 57 783,8 тыс. руб. (100,1% к плановым назначениям). Согласно отчету об исполнении бюджета (ф. 0503117) исполнение средств дорожного фонда за 2025г. составило 50 532,4</w:t>
      </w:r>
      <w:r>
        <w:rPr>
          <w:color w:val="000000"/>
          <w:sz w:val="25"/>
          <w:szCs w:val="25"/>
        </w:rPr>
        <w:t xml:space="preserve"> </w:t>
      </w:r>
      <w:r>
        <w:rPr>
          <w:color w:val="34343C"/>
          <w:sz w:val="25"/>
          <w:szCs w:val="25"/>
        </w:rPr>
        <w:t xml:space="preserve">тыс. руб. или </w:t>
      </w:r>
      <w:r>
        <w:rPr>
          <w:color w:val="000000"/>
          <w:sz w:val="25"/>
          <w:szCs w:val="25"/>
        </w:rPr>
        <w:t>87,5</w:t>
      </w:r>
      <w:r>
        <w:rPr>
          <w:color w:val="34343C"/>
          <w:sz w:val="25"/>
          <w:szCs w:val="25"/>
        </w:rPr>
        <w:t xml:space="preserve">% к плану. </w:t>
      </w:r>
    </w:p>
    <w:p>
      <w:pPr>
        <w:pStyle w:val="Normal"/>
        <w:ind w:hanging="0" w:right="0"/>
        <w:rPr>
          <w:sz w:val="25"/>
          <w:szCs w:val="25"/>
        </w:rPr>
      </w:pPr>
      <w:r>
        <w:rPr>
          <w:color w:val="34343C"/>
          <w:sz w:val="25"/>
          <w:szCs w:val="25"/>
        </w:rPr>
        <w:t xml:space="preserve">       </w:t>
      </w:r>
      <w:r>
        <w:rPr>
          <w:color w:val="34343C"/>
          <w:sz w:val="25"/>
          <w:szCs w:val="25"/>
        </w:rPr>
        <w:t>Средства дорожного фонда направлены:</w:t>
      </w:r>
    </w:p>
    <w:p>
      <w:pPr>
        <w:pStyle w:val="Normal"/>
        <w:ind w:hanging="0" w:right="0"/>
        <w:rPr>
          <w:sz w:val="25"/>
          <w:szCs w:val="25"/>
        </w:rPr>
      </w:pPr>
      <w:r>
        <w:rPr>
          <w:color w:val="34343C"/>
          <w:sz w:val="25"/>
          <w:szCs w:val="25"/>
        </w:rPr>
        <w:t>- на содержание, капитальный ремонт, ремонт автомобильных дорог и искуственных сооружений на ниж в сумме 50 071,0  тыс.руб.;</w:t>
      </w:r>
    </w:p>
    <w:p>
      <w:pPr>
        <w:pStyle w:val="Normal"/>
        <w:ind w:hanging="0" w:right="0"/>
        <w:rPr>
          <w:sz w:val="25"/>
          <w:szCs w:val="25"/>
        </w:rPr>
      </w:pPr>
      <w:r>
        <w:rPr>
          <w:color w:val="34343C"/>
          <w:sz w:val="25"/>
          <w:szCs w:val="25"/>
        </w:rPr>
        <w:t>- на оформление прав собственности на автомобильные дороги и земельные участки под ними в сумме 461,4 тыс.руб.</w:t>
      </w:r>
    </w:p>
    <w:p>
      <w:pPr>
        <w:pStyle w:val="Normal"/>
        <w:ind w:hanging="0" w:right="0"/>
        <w:rPr>
          <w:sz w:val="25"/>
          <w:szCs w:val="25"/>
        </w:rPr>
      </w:pPr>
      <w:r>
        <w:rPr>
          <w:color w:val="34343C"/>
          <w:sz w:val="25"/>
          <w:szCs w:val="25"/>
        </w:rPr>
        <w:t xml:space="preserve">Остаток средств дорожного фонда на 01.01.2026г. составил 7 251,4тыс. руб. </w:t>
      </w:r>
    </w:p>
    <w:p>
      <w:pPr>
        <w:pStyle w:val="Normal"/>
        <w:tabs>
          <w:tab w:val="clear" w:pos="720"/>
          <w:tab w:val="left" w:pos="1080" w:leader="none"/>
        </w:tabs>
        <w:ind w:hanging="0" w:right="176"/>
        <w:rPr>
          <w:sz w:val="25"/>
          <w:szCs w:val="25"/>
        </w:rPr>
      </w:pPr>
      <w:r>
        <w:rPr>
          <w:rFonts w:eastAsia="Calibri"/>
          <w:color w:val="333333"/>
          <w:sz w:val="25"/>
          <w:szCs w:val="25"/>
          <w:shd w:fill="FFFFFF" w:val="clear"/>
        </w:rPr>
        <w:t xml:space="preserve"> </w:t>
      </w:r>
    </w:p>
    <w:p>
      <w:pPr>
        <w:pStyle w:val="Normal"/>
        <w:ind w:hanging="0" w:right="27"/>
        <w:jc w:val="center"/>
        <w:rPr/>
      </w:pPr>
      <w:r>
        <w:rPr>
          <w:b/>
          <w:i/>
          <w:sz w:val="25"/>
          <w:szCs w:val="25"/>
        </w:rPr>
        <w:t xml:space="preserve">   </w:t>
      </w:r>
      <w:r>
        <w:rPr>
          <w:b/>
          <w:sz w:val="25"/>
          <w:szCs w:val="25"/>
        </w:rPr>
        <w:t>8. Муниципальные  программы.</w:t>
      </w:r>
    </w:p>
    <w:p>
      <w:pPr>
        <w:pStyle w:val="Normal"/>
        <w:tabs>
          <w:tab w:val="clear" w:pos="720"/>
          <w:tab w:val="left" w:pos="709" w:leader="none"/>
          <w:tab w:val="left" w:pos="990" w:leader="none"/>
          <w:tab w:val="left" w:pos="1080" w:leader="none"/>
        </w:tabs>
        <w:jc w:val="center"/>
        <w:rPr>
          <w:b/>
          <w:sz w:val="25"/>
          <w:szCs w:val="25"/>
        </w:rPr>
      </w:pPr>
      <w:r>
        <w:rPr>
          <w:b/>
          <w:sz w:val="25"/>
          <w:szCs w:val="25"/>
        </w:rPr>
      </w:r>
    </w:p>
    <w:p>
      <w:pPr>
        <w:pStyle w:val="Normal"/>
        <w:tabs>
          <w:tab w:val="clear" w:pos="720"/>
          <w:tab w:val="left" w:pos="709" w:leader="none"/>
          <w:tab w:val="left" w:pos="990" w:leader="none"/>
          <w:tab w:val="left" w:pos="1080" w:leader="none"/>
        </w:tabs>
        <w:rPr/>
      </w:pPr>
      <w:r>
        <w:rPr>
          <w:sz w:val="25"/>
          <w:szCs w:val="25"/>
        </w:rPr>
        <w:t xml:space="preserve">Решением Думы Тулунского муниципального района от 24.12.2024г. № 121 «О бюджете Тулунского муниципального района на 2025 год и на плановый период 2026 и 2027 годов» (с изменениями), бюджет района сформирован в программной структуре расходов по 7 муниципальным программам. Сводной бюджетной росписью  расходы на муниципальные программы предусмотрены в сумме </w:t>
      </w:r>
      <w:r>
        <w:rPr>
          <w:color w:val="000000"/>
          <w:sz w:val="25"/>
          <w:szCs w:val="25"/>
        </w:rPr>
        <w:t>2 233 876,8</w:t>
      </w:r>
      <w:r>
        <w:rPr>
          <w:sz w:val="25"/>
          <w:szCs w:val="25"/>
        </w:rPr>
        <w:t xml:space="preserve"> тыс. руб. или 99,6% в общем объеме расходов бюджета. </w:t>
      </w:r>
    </w:p>
    <w:p>
      <w:pPr>
        <w:pStyle w:val="Normal"/>
        <w:tabs>
          <w:tab w:val="clear" w:pos="720"/>
          <w:tab w:val="left" w:pos="709" w:leader="none"/>
          <w:tab w:val="left" w:pos="1080" w:leader="none"/>
        </w:tabs>
        <w:rPr>
          <w:sz w:val="25"/>
          <w:szCs w:val="25"/>
        </w:rPr>
      </w:pPr>
      <w:r>
        <w:rPr>
          <w:sz w:val="25"/>
          <w:szCs w:val="25"/>
        </w:rPr>
        <w:t xml:space="preserve">Освоение бюджетных ассигнований на реализацию муниципальных программ Тулунского муниципального района за 2025 год представлено в следующей таблице:                                                                                                </w:t>
      </w:r>
    </w:p>
    <w:p>
      <w:pPr>
        <w:pStyle w:val="Normal"/>
        <w:tabs>
          <w:tab w:val="clear" w:pos="720"/>
          <w:tab w:val="left" w:pos="709" w:leader="none"/>
          <w:tab w:val="left" w:pos="1080" w:leader="none"/>
        </w:tabs>
        <w:rPr>
          <w:sz w:val="25"/>
          <w:szCs w:val="25"/>
        </w:rPr>
      </w:pPr>
      <w:r>
        <w:rPr>
          <w:sz w:val="25"/>
          <w:szCs w:val="25"/>
        </w:rPr>
        <w:t xml:space="preserve">                                                                                                                       </w:t>
      </w:r>
      <w:r>
        <w:rPr>
          <w:sz w:val="25"/>
          <w:szCs w:val="25"/>
        </w:rPr>
        <w:t>(тыс.руб.)</w:t>
      </w:r>
    </w:p>
    <w:tbl>
      <w:tblPr>
        <w:tblW w:w="9643" w:type="dxa"/>
        <w:jc w:val="left"/>
        <w:tblInd w:w="-20" w:type="dxa"/>
        <w:tblLayout w:type="fixed"/>
        <w:tblCellMar>
          <w:top w:w="0" w:type="dxa"/>
          <w:left w:w="108" w:type="dxa"/>
          <w:bottom w:w="0" w:type="dxa"/>
          <w:right w:w="108" w:type="dxa"/>
        </w:tblCellMar>
        <w:tblLook w:firstRow="1" w:noVBand="1" w:lastRow="0" w:firstColumn="1" w:lastColumn="0" w:noHBand="0" w:val="04a0"/>
      </w:tblPr>
      <w:tblGrid>
        <w:gridCol w:w="2998"/>
        <w:gridCol w:w="1598"/>
        <w:gridCol w:w="1527"/>
        <w:gridCol w:w="1601"/>
        <w:gridCol w:w="1131"/>
        <w:gridCol w:w="787"/>
      </w:tblGrid>
      <w:tr>
        <w:trPr>
          <w:trHeight w:val="510" w:hRule="atLeast"/>
        </w:trPr>
        <w:tc>
          <w:tcPr>
            <w:tcW w:w="2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Наименование муниципальной программы</w:t>
            </w:r>
          </w:p>
        </w:tc>
        <w:tc>
          <w:tcPr>
            <w:tcW w:w="1598"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КЦСР</w:t>
            </w:r>
          </w:p>
        </w:tc>
        <w:tc>
          <w:tcPr>
            <w:tcW w:w="1527"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План 2025г.</w:t>
            </w:r>
          </w:p>
        </w:tc>
        <w:tc>
          <w:tcPr>
            <w:tcW w:w="1601" w:type="dxa"/>
            <w:tcBorders>
              <w:top w:val="single" w:sz="4" w:space="0" w:color="000000"/>
              <w:bottom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Исполнение 2025г.</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Отклонение</w:t>
            </w:r>
          </w:p>
        </w:tc>
        <w:tc>
          <w:tcPr>
            <w:tcW w:w="787"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 Исполнения</w:t>
            </w:r>
          </w:p>
        </w:tc>
      </w:tr>
      <w:tr>
        <w:trPr>
          <w:trHeight w:val="300" w:hRule="atLeast"/>
        </w:trPr>
        <w:tc>
          <w:tcPr>
            <w:tcW w:w="2998" w:type="dxa"/>
            <w:tcBorders>
              <w:left w:val="single" w:sz="4" w:space="0" w:color="000000"/>
              <w:bottom w:val="single" w:sz="4" w:space="0" w:color="000000"/>
              <w:right w:val="single" w:sz="4" w:space="0" w:color="000000"/>
            </w:tcBorders>
            <w:vAlign w:val="bottom"/>
          </w:tcPr>
          <w:p>
            <w:pPr>
              <w:pStyle w:val="Normal"/>
              <w:widowControl w:val="false"/>
              <w:jc w:val="center"/>
              <w:rPr>
                <w:b/>
                <w:bCs/>
                <w:color w:val="000000"/>
                <w:sz w:val="20"/>
                <w:szCs w:val="20"/>
              </w:rPr>
            </w:pPr>
            <w:r>
              <w:rPr>
                <w:b/>
                <w:bCs/>
                <w:color w:val="000000"/>
                <w:sz w:val="20"/>
                <w:szCs w:val="20"/>
              </w:rPr>
              <w:t>1</w:t>
            </w:r>
          </w:p>
        </w:tc>
        <w:tc>
          <w:tcPr>
            <w:tcW w:w="1598" w:type="dxa"/>
            <w:tcBorders>
              <w:right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2</w:t>
            </w:r>
          </w:p>
        </w:tc>
        <w:tc>
          <w:tcPr>
            <w:tcW w:w="1527" w:type="dxa"/>
            <w:tcBorders>
              <w:bottom w:val="single" w:sz="4" w:space="0" w:color="000000"/>
              <w:right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3</w:t>
            </w:r>
          </w:p>
        </w:tc>
        <w:tc>
          <w:tcPr>
            <w:tcW w:w="1601" w:type="dxa"/>
            <w:tcBorders>
              <w:bottom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4</w:t>
            </w:r>
          </w:p>
        </w:tc>
        <w:tc>
          <w:tcPr>
            <w:tcW w:w="1131" w:type="dxa"/>
            <w:tcBorders>
              <w:left w:val="single" w:sz="4" w:space="0" w:color="000000"/>
              <w:bottom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5</w:t>
            </w:r>
          </w:p>
        </w:tc>
        <w:tc>
          <w:tcPr>
            <w:tcW w:w="787" w:type="dxa"/>
            <w:tcBorders>
              <w:left w:val="single" w:sz="4" w:space="0" w:color="000000"/>
              <w:bottom w:val="single" w:sz="4" w:space="0" w:color="000000"/>
              <w:right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6</w:t>
            </w:r>
          </w:p>
        </w:tc>
      </w:tr>
      <w:tr>
        <w:trPr>
          <w:trHeight w:val="900" w:hRule="atLeast"/>
        </w:trPr>
        <w:tc>
          <w:tcPr>
            <w:tcW w:w="2998"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hanging="0" w:left="0" w:right="170"/>
              <w:jc w:val="left"/>
              <w:rPr>
                <w:sz w:val="20"/>
                <w:szCs w:val="20"/>
              </w:rPr>
            </w:pPr>
            <w:r>
              <w:rPr>
                <w:sz w:val="20"/>
                <w:szCs w:val="20"/>
              </w:rPr>
              <w:t>Муниципальная программа "Экономическое развитие Тулунского муниципального района" на 2021-2027 годы</w:t>
            </w:r>
          </w:p>
        </w:tc>
        <w:tc>
          <w:tcPr>
            <w:tcW w:w="1598"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01.0.00.00000</w:t>
            </w:r>
          </w:p>
        </w:tc>
        <w:tc>
          <w:tcPr>
            <w:tcW w:w="152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146 532,7</w:t>
            </w:r>
          </w:p>
        </w:tc>
        <w:tc>
          <w:tcPr>
            <w:tcW w:w="160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145 263,5</w:t>
            </w:r>
          </w:p>
        </w:tc>
        <w:tc>
          <w:tcPr>
            <w:tcW w:w="113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1 269,2</w:t>
            </w:r>
          </w:p>
        </w:tc>
        <w:tc>
          <w:tcPr>
            <w:tcW w:w="78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99,1</w:t>
            </w:r>
          </w:p>
        </w:tc>
      </w:tr>
      <w:tr>
        <w:trPr>
          <w:trHeight w:val="900" w:hRule="atLeast"/>
        </w:trPr>
        <w:tc>
          <w:tcPr>
            <w:tcW w:w="2998" w:type="dxa"/>
            <w:tcBorders>
              <w:left w:val="single" w:sz="4" w:space="0" w:color="000000"/>
              <w:bottom w:val="single" w:sz="4" w:space="0" w:color="000000"/>
            </w:tcBorders>
            <w:vAlign w:val="center"/>
          </w:tcPr>
          <w:p>
            <w:pPr>
              <w:pStyle w:val="Normal"/>
              <w:widowControl w:val="false"/>
              <w:suppressAutoHyphens w:val="true"/>
              <w:bidi w:val="0"/>
              <w:spacing w:before="0" w:after="0"/>
              <w:ind w:hanging="0" w:left="0" w:right="170"/>
              <w:jc w:val="left"/>
              <w:rPr>
                <w:sz w:val="20"/>
                <w:szCs w:val="20"/>
              </w:rPr>
            </w:pPr>
            <w:r>
              <w:rPr>
                <w:sz w:val="20"/>
                <w:szCs w:val="20"/>
              </w:rPr>
              <w:t>Муниципальная программа "Управление финансами Тулунского муниципального района" на 2020-2027 годы</w:t>
            </w:r>
          </w:p>
        </w:tc>
        <w:tc>
          <w:tcPr>
            <w:tcW w:w="1598" w:type="dxa"/>
            <w:tcBorders>
              <w:left w:val="single" w:sz="4" w:space="0" w:color="000000"/>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02.0.00.00000</w:t>
            </w:r>
          </w:p>
        </w:tc>
        <w:tc>
          <w:tcPr>
            <w:tcW w:w="152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360 396,5</w:t>
            </w:r>
          </w:p>
        </w:tc>
        <w:tc>
          <w:tcPr>
            <w:tcW w:w="160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359 168,6</w:t>
            </w:r>
          </w:p>
        </w:tc>
        <w:tc>
          <w:tcPr>
            <w:tcW w:w="113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1227,9</w:t>
            </w:r>
          </w:p>
        </w:tc>
        <w:tc>
          <w:tcPr>
            <w:tcW w:w="78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99.7</w:t>
            </w:r>
          </w:p>
        </w:tc>
      </w:tr>
      <w:tr>
        <w:trPr>
          <w:trHeight w:val="1200" w:hRule="atLeast"/>
        </w:trPr>
        <w:tc>
          <w:tcPr>
            <w:tcW w:w="2998" w:type="dxa"/>
            <w:tcBorders>
              <w:left w:val="single" w:sz="4" w:space="0" w:color="000000"/>
              <w:bottom w:val="single" w:sz="4" w:space="0" w:color="000000"/>
            </w:tcBorders>
            <w:vAlign w:val="center"/>
          </w:tcPr>
          <w:p>
            <w:pPr>
              <w:pStyle w:val="Normal"/>
              <w:widowControl w:val="false"/>
              <w:suppressAutoHyphens w:val="true"/>
              <w:bidi w:val="0"/>
              <w:spacing w:before="0" w:after="0"/>
              <w:ind w:hanging="0" w:left="0" w:right="170"/>
              <w:jc w:val="left"/>
              <w:rPr>
                <w:sz w:val="20"/>
                <w:szCs w:val="20"/>
              </w:rPr>
            </w:pPr>
            <w:r>
              <w:rPr>
                <w:sz w:val="20"/>
                <w:szCs w:val="20"/>
              </w:rPr>
              <w:t>Муниципальная программа "Обеспечение комплексных мер безопасности на территории Тулунского муниципального района" на 2020-2027 годы</w:t>
            </w:r>
          </w:p>
        </w:tc>
        <w:tc>
          <w:tcPr>
            <w:tcW w:w="1598" w:type="dxa"/>
            <w:tcBorders>
              <w:left w:val="single" w:sz="4" w:space="0" w:color="000000"/>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03.0.00.00000</w:t>
            </w:r>
          </w:p>
        </w:tc>
        <w:tc>
          <w:tcPr>
            <w:tcW w:w="152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17 583,4</w:t>
            </w:r>
          </w:p>
        </w:tc>
        <w:tc>
          <w:tcPr>
            <w:tcW w:w="160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17 088,9</w:t>
            </w:r>
          </w:p>
        </w:tc>
        <w:tc>
          <w:tcPr>
            <w:tcW w:w="113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494,5</w:t>
            </w:r>
          </w:p>
        </w:tc>
        <w:tc>
          <w:tcPr>
            <w:tcW w:w="78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97,2</w:t>
            </w:r>
          </w:p>
        </w:tc>
      </w:tr>
      <w:tr>
        <w:trPr>
          <w:trHeight w:val="1215" w:hRule="atLeast"/>
        </w:trPr>
        <w:tc>
          <w:tcPr>
            <w:tcW w:w="2998"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hanging="0" w:left="0" w:right="170"/>
              <w:jc w:val="left"/>
              <w:rPr>
                <w:sz w:val="20"/>
                <w:szCs w:val="20"/>
              </w:rPr>
            </w:pPr>
            <w:r>
              <w:rPr>
                <w:sz w:val="20"/>
                <w:szCs w:val="20"/>
              </w:rPr>
              <w:t>Муниципальная программа "Развитие инфраструктуры на территории Тулунского муниципального района" на 2021-2027 гг.</w:t>
            </w:r>
          </w:p>
        </w:tc>
        <w:tc>
          <w:tcPr>
            <w:tcW w:w="159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04.0.00.00000</w:t>
            </w:r>
          </w:p>
        </w:tc>
        <w:tc>
          <w:tcPr>
            <w:tcW w:w="152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86 833,7</w:t>
            </w:r>
          </w:p>
        </w:tc>
        <w:tc>
          <w:tcPr>
            <w:tcW w:w="160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74 513,8</w:t>
            </w:r>
          </w:p>
        </w:tc>
        <w:tc>
          <w:tcPr>
            <w:tcW w:w="113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12 319,9</w:t>
            </w:r>
          </w:p>
        </w:tc>
        <w:tc>
          <w:tcPr>
            <w:tcW w:w="78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85,8</w:t>
            </w:r>
          </w:p>
        </w:tc>
      </w:tr>
      <w:tr>
        <w:trPr>
          <w:trHeight w:val="900" w:hRule="atLeast"/>
        </w:trPr>
        <w:tc>
          <w:tcPr>
            <w:tcW w:w="2998"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hanging="0" w:left="0" w:right="170"/>
              <w:jc w:val="left"/>
              <w:rPr>
                <w:sz w:val="20"/>
                <w:szCs w:val="20"/>
              </w:rPr>
            </w:pPr>
            <w:r>
              <w:rPr>
                <w:sz w:val="20"/>
                <w:szCs w:val="20"/>
              </w:rPr>
              <w:t>Муниципальная программа "Развитие культуры в Тулунском районе" на 2021 - 2027 годы</w:t>
            </w:r>
          </w:p>
        </w:tc>
        <w:tc>
          <w:tcPr>
            <w:tcW w:w="159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05.0.00.00000</w:t>
            </w:r>
          </w:p>
        </w:tc>
        <w:tc>
          <w:tcPr>
            <w:tcW w:w="152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174 709,2</w:t>
            </w:r>
          </w:p>
        </w:tc>
        <w:tc>
          <w:tcPr>
            <w:tcW w:w="160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173 888,8</w:t>
            </w:r>
          </w:p>
        </w:tc>
        <w:tc>
          <w:tcPr>
            <w:tcW w:w="113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820 ,4</w:t>
            </w:r>
          </w:p>
        </w:tc>
        <w:tc>
          <w:tcPr>
            <w:tcW w:w="78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99,5</w:t>
            </w:r>
          </w:p>
        </w:tc>
      </w:tr>
      <w:tr>
        <w:trPr>
          <w:trHeight w:val="1800" w:hRule="atLeast"/>
        </w:trPr>
        <w:tc>
          <w:tcPr>
            <w:tcW w:w="2998"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firstLine="57" w:left="0" w:right="170"/>
              <w:jc w:val="left"/>
              <w:rPr>
                <w:sz w:val="20"/>
                <w:szCs w:val="20"/>
              </w:rPr>
            </w:pPr>
            <w:r>
              <w:rPr>
                <w:sz w:val="20"/>
                <w:szCs w:val="20"/>
              </w:rPr>
              <w:t>Муниципальная программа "Развитие физической культуры и спорта, молодежной политики, формирование здорового и безопасного образа жизни на территории Тулунского муниципального района" на 2024-2027 годы</w:t>
            </w:r>
          </w:p>
        </w:tc>
        <w:tc>
          <w:tcPr>
            <w:tcW w:w="159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06.0.00.00000</w:t>
            </w:r>
          </w:p>
        </w:tc>
        <w:tc>
          <w:tcPr>
            <w:tcW w:w="152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13 210,7</w:t>
            </w:r>
          </w:p>
        </w:tc>
        <w:tc>
          <w:tcPr>
            <w:tcW w:w="160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13 022,9</w:t>
            </w:r>
          </w:p>
        </w:tc>
        <w:tc>
          <w:tcPr>
            <w:tcW w:w="113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187,8</w:t>
            </w:r>
          </w:p>
        </w:tc>
        <w:tc>
          <w:tcPr>
            <w:tcW w:w="78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98,6</w:t>
            </w:r>
          </w:p>
        </w:tc>
      </w:tr>
      <w:tr>
        <w:trPr>
          <w:trHeight w:val="900" w:hRule="atLeast"/>
        </w:trPr>
        <w:tc>
          <w:tcPr>
            <w:tcW w:w="2998" w:type="dxa"/>
            <w:tcBorders>
              <w:left w:val="single" w:sz="4" w:space="0" w:color="000000"/>
              <w:bottom w:val="single" w:sz="4" w:space="0" w:color="000000"/>
            </w:tcBorders>
            <w:vAlign w:val="center"/>
          </w:tcPr>
          <w:p>
            <w:pPr>
              <w:pStyle w:val="Normal"/>
              <w:widowControl w:val="false"/>
              <w:suppressAutoHyphens w:val="true"/>
              <w:bidi w:val="0"/>
              <w:spacing w:before="0" w:after="0"/>
              <w:ind w:firstLine="57" w:left="0" w:right="170"/>
              <w:jc w:val="left"/>
              <w:rPr>
                <w:sz w:val="20"/>
                <w:szCs w:val="20"/>
              </w:rPr>
            </w:pPr>
            <w:r>
              <w:rPr>
                <w:sz w:val="20"/>
                <w:szCs w:val="20"/>
              </w:rPr>
              <w:t>Муниципальная программа "Развитие образования на территории Тулунского муниципального района на 2020-2027гг."</w:t>
            </w:r>
          </w:p>
        </w:tc>
        <w:tc>
          <w:tcPr>
            <w:tcW w:w="1598" w:type="dxa"/>
            <w:tcBorders>
              <w:left w:val="single" w:sz="4" w:space="0" w:color="000000"/>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07.0.00.00000</w:t>
            </w:r>
          </w:p>
        </w:tc>
        <w:tc>
          <w:tcPr>
            <w:tcW w:w="152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1 461 991,2</w:t>
            </w:r>
          </w:p>
        </w:tc>
        <w:tc>
          <w:tcPr>
            <w:tcW w:w="160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1 450 930,2</w:t>
            </w:r>
          </w:p>
        </w:tc>
        <w:tc>
          <w:tcPr>
            <w:tcW w:w="113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11 061,0</w:t>
            </w:r>
          </w:p>
        </w:tc>
        <w:tc>
          <w:tcPr>
            <w:tcW w:w="78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99,2</w:t>
            </w:r>
          </w:p>
        </w:tc>
      </w:tr>
      <w:tr>
        <w:trPr>
          <w:trHeight w:val="585" w:hRule="atLeast"/>
        </w:trPr>
        <w:tc>
          <w:tcPr>
            <w:tcW w:w="2998" w:type="dxa"/>
            <w:tcBorders>
              <w:left w:val="single" w:sz="4" w:space="0" w:color="000000"/>
              <w:bottom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Итого по муниципальным программам:</w:t>
            </w:r>
          </w:p>
        </w:tc>
        <w:tc>
          <w:tcPr>
            <w:tcW w:w="1598" w:type="dxa"/>
            <w:tcBorders>
              <w:left w:val="single" w:sz="4" w:space="0" w:color="000000"/>
              <w:bottom w:val="single" w:sz="4" w:space="0" w:color="000000"/>
              <w:right w:val="single" w:sz="4" w:space="0" w:color="000000"/>
            </w:tcBorders>
            <w:vAlign w:val="center"/>
          </w:tcPr>
          <w:p>
            <w:pPr>
              <w:pStyle w:val="Normal"/>
              <w:widowControl w:val="false"/>
              <w:rPr>
                <w:b/>
                <w:bCs/>
                <w:color w:val="000000"/>
                <w:sz w:val="20"/>
                <w:szCs w:val="20"/>
              </w:rPr>
            </w:pPr>
            <w:r>
              <w:rPr>
                <w:b/>
                <w:bCs/>
                <w:color w:val="000000"/>
                <w:sz w:val="20"/>
                <w:szCs w:val="20"/>
              </w:rPr>
            </w:r>
          </w:p>
        </w:tc>
        <w:tc>
          <w:tcPr>
            <w:tcW w:w="1527"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2 261 257,4</w:t>
            </w:r>
          </w:p>
        </w:tc>
        <w:tc>
          <w:tcPr>
            <w:tcW w:w="1601"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2 233 876,8</w:t>
            </w:r>
          </w:p>
        </w:tc>
        <w:tc>
          <w:tcPr>
            <w:tcW w:w="1131"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27 380,6</w:t>
            </w:r>
          </w:p>
        </w:tc>
        <w:tc>
          <w:tcPr>
            <w:tcW w:w="787"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98.8</w:t>
            </w:r>
          </w:p>
        </w:tc>
      </w:tr>
    </w:tbl>
    <w:p>
      <w:pPr>
        <w:pStyle w:val="Normal"/>
        <w:tabs>
          <w:tab w:val="clear" w:pos="720"/>
          <w:tab w:val="left" w:pos="709" w:leader="none"/>
          <w:tab w:val="left" w:pos="1080" w:leader="none"/>
        </w:tabs>
        <w:rPr>
          <w:sz w:val="25"/>
          <w:szCs w:val="25"/>
        </w:rPr>
      </w:pPr>
      <w:r>
        <w:rPr>
          <w:sz w:val="25"/>
          <w:szCs w:val="25"/>
        </w:rPr>
        <w:t xml:space="preserve">                                                                                                             </w:t>
      </w:r>
    </w:p>
    <w:p>
      <w:pPr>
        <w:pStyle w:val="Normal"/>
        <w:tabs>
          <w:tab w:val="clear" w:pos="720"/>
          <w:tab w:val="left" w:pos="709" w:leader="none"/>
          <w:tab w:val="left" w:pos="1080" w:leader="none"/>
        </w:tabs>
        <w:rPr>
          <w:sz w:val="25"/>
          <w:szCs w:val="25"/>
        </w:rPr>
      </w:pPr>
      <w:r>
        <w:rPr>
          <w:sz w:val="25"/>
          <w:szCs w:val="25"/>
        </w:rPr>
        <w:t xml:space="preserve"> </w:t>
      </w:r>
      <w:r>
        <w:rPr>
          <w:sz w:val="25"/>
          <w:szCs w:val="25"/>
        </w:rPr>
        <w:t>В соответствии со сводной бюджетной росписью на 2025 год исполнение расходов  бюджета района по муниципальным программам осуществляли 4 главных распорядителей средств районного бюджета, в том числе:                                                                                                    1. Администрация Тулунского муниципального района;</w:t>
      </w:r>
    </w:p>
    <w:p>
      <w:pPr>
        <w:pStyle w:val="Normal"/>
        <w:tabs>
          <w:tab w:val="clear" w:pos="720"/>
          <w:tab w:val="left" w:pos="709" w:leader="none"/>
          <w:tab w:val="left" w:pos="1080" w:leader="none"/>
        </w:tabs>
        <w:ind w:hanging="0" w:right="176"/>
        <w:rPr>
          <w:sz w:val="25"/>
          <w:szCs w:val="25"/>
        </w:rPr>
      </w:pPr>
      <w:r>
        <w:rPr>
          <w:sz w:val="25"/>
          <w:szCs w:val="25"/>
        </w:rPr>
        <w:t>2. Комитет по финансам  администрации Тулунского муниципального района;</w:t>
      </w:r>
    </w:p>
    <w:p>
      <w:pPr>
        <w:pStyle w:val="Normal"/>
        <w:tabs>
          <w:tab w:val="clear" w:pos="720"/>
          <w:tab w:val="left" w:pos="709" w:leader="none"/>
          <w:tab w:val="left" w:pos="1080" w:leader="none"/>
        </w:tabs>
        <w:ind w:hanging="0" w:right="176"/>
        <w:rPr>
          <w:sz w:val="25"/>
          <w:szCs w:val="25"/>
        </w:rPr>
      </w:pPr>
      <w:r>
        <w:rPr>
          <w:sz w:val="25"/>
          <w:szCs w:val="25"/>
        </w:rPr>
        <w:t>3. Комитет по образованию администрации Тулунского муниципального района;</w:t>
      </w:r>
    </w:p>
    <w:p>
      <w:pPr>
        <w:pStyle w:val="Normal"/>
        <w:ind w:hanging="0" w:right="176"/>
        <w:rPr>
          <w:sz w:val="25"/>
          <w:szCs w:val="25"/>
        </w:rPr>
      </w:pPr>
      <w:r>
        <w:rPr>
          <w:sz w:val="25"/>
          <w:szCs w:val="25"/>
        </w:rPr>
        <w:t>4. Комитет по культуре, молодежной политике и спорту администрации Тулунского муниципального района.</w:t>
      </w:r>
    </w:p>
    <w:p>
      <w:pPr>
        <w:pStyle w:val="Normal"/>
        <w:rPr/>
      </w:pPr>
      <w:r>
        <w:rPr>
          <w:sz w:val="25"/>
          <w:szCs w:val="25"/>
        </w:rPr>
        <w:t xml:space="preserve"> </w:t>
      </w:r>
      <w:bookmarkStart w:id="10" w:name="__DdeLink__5783_1866956844"/>
      <w:r>
        <w:rPr>
          <w:sz w:val="25"/>
          <w:szCs w:val="25"/>
        </w:rPr>
        <w:t xml:space="preserve">Освоение бюджетных ассигнований на реализацию муниципальных программ Тулунского муниципального района за 2025 год составило в сумме 2 233 876,8тыс. руб., или 98,8% к плану, сумма неосвоенных бюджетных ассигнований в рамках муниципальных программ составила </w:t>
      </w:r>
      <w:bookmarkEnd w:id="10"/>
      <w:r>
        <w:rPr>
          <w:sz w:val="25"/>
          <w:szCs w:val="25"/>
        </w:rPr>
        <w:t>27 380,6 тыс. руб.</w:t>
      </w:r>
    </w:p>
    <w:p>
      <w:pPr>
        <w:pStyle w:val="Normal"/>
        <w:rPr>
          <w:sz w:val="25"/>
          <w:szCs w:val="25"/>
        </w:rPr>
      </w:pPr>
      <w:r>
        <w:rPr>
          <w:sz w:val="25"/>
          <w:szCs w:val="25"/>
        </w:rPr>
      </w:r>
    </w:p>
    <w:p>
      <w:pPr>
        <w:pStyle w:val="Normal"/>
        <w:ind w:hanging="142" w:right="176"/>
        <w:jc w:val="center"/>
        <w:rPr>
          <w:b/>
          <w:sz w:val="25"/>
          <w:szCs w:val="25"/>
        </w:rPr>
      </w:pPr>
      <w:r>
        <w:rPr>
          <w:b/>
          <w:sz w:val="25"/>
          <w:szCs w:val="25"/>
        </w:rPr>
        <w:t xml:space="preserve">Информация о реализации мероприятий муниципальной программы </w:t>
      </w:r>
    </w:p>
    <w:p>
      <w:pPr>
        <w:pStyle w:val="Normal"/>
        <w:ind w:hanging="142" w:right="176"/>
        <w:jc w:val="center"/>
        <w:rPr/>
      </w:pPr>
      <w:r>
        <w:rPr>
          <w:b/>
          <w:bCs/>
          <w:sz w:val="25"/>
          <w:szCs w:val="25"/>
        </w:rPr>
        <w:t>«Экономическое развитие Тулунского муниципального района» на 2021-2027 годы</w:t>
      </w:r>
      <w:r>
        <w:rPr>
          <w:b/>
          <w:sz w:val="25"/>
          <w:szCs w:val="25"/>
        </w:rPr>
        <w:t xml:space="preserve"> </w:t>
      </w:r>
    </w:p>
    <w:p>
      <w:pPr>
        <w:pStyle w:val="Normal"/>
        <w:ind w:hanging="142" w:right="176"/>
        <w:jc w:val="right"/>
        <w:rPr>
          <w:sz w:val="25"/>
          <w:szCs w:val="25"/>
        </w:rPr>
      </w:pPr>
      <w:r>
        <w:rPr>
          <w:sz w:val="25"/>
          <w:szCs w:val="25"/>
        </w:rPr>
        <w:t>(тыс. руб.)</w:t>
      </w:r>
    </w:p>
    <w:tbl>
      <w:tblPr>
        <w:tblW w:w="9579" w:type="dxa"/>
        <w:jc w:val="left"/>
        <w:tblInd w:w="72" w:type="dxa"/>
        <w:tblLayout w:type="fixed"/>
        <w:tblCellMar>
          <w:top w:w="0" w:type="dxa"/>
          <w:left w:w="108" w:type="dxa"/>
          <w:bottom w:w="0" w:type="dxa"/>
          <w:right w:w="108" w:type="dxa"/>
        </w:tblCellMar>
        <w:tblLook w:firstRow="1" w:noVBand="1" w:lastRow="0" w:firstColumn="1" w:lastColumn="0" w:noHBand="0" w:val="04a0"/>
      </w:tblPr>
      <w:tblGrid>
        <w:gridCol w:w="3114"/>
        <w:gridCol w:w="1418"/>
        <w:gridCol w:w="1428"/>
        <w:gridCol w:w="1240"/>
        <w:gridCol w:w="1365"/>
        <w:gridCol w:w="1013"/>
      </w:tblGrid>
      <w:tr>
        <w:trPr>
          <w:trHeight w:val="765"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Наименование муниципальной программы</w:t>
            </w:r>
          </w:p>
        </w:tc>
        <w:tc>
          <w:tcPr>
            <w:tcW w:w="1418"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КЦСР</w:t>
            </w:r>
          </w:p>
        </w:tc>
        <w:tc>
          <w:tcPr>
            <w:tcW w:w="1428"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План</w:t>
            </w:r>
          </w:p>
        </w:tc>
        <w:tc>
          <w:tcPr>
            <w:tcW w:w="1240"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Исполнение</w:t>
            </w:r>
          </w:p>
        </w:tc>
        <w:tc>
          <w:tcPr>
            <w:tcW w:w="1365"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Отклонение</w:t>
            </w:r>
          </w:p>
        </w:tc>
        <w:tc>
          <w:tcPr>
            <w:tcW w:w="1013"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 Исполнения</w:t>
            </w:r>
          </w:p>
        </w:tc>
      </w:tr>
      <w:tr>
        <w:trPr>
          <w:trHeight w:val="300" w:hRule="atLeast"/>
        </w:trPr>
        <w:tc>
          <w:tcPr>
            <w:tcW w:w="3114" w:type="dxa"/>
            <w:tcBorders>
              <w:left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w:t>
            </w:r>
          </w:p>
        </w:tc>
        <w:tc>
          <w:tcPr>
            <w:tcW w:w="1418"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2</w:t>
            </w:r>
          </w:p>
        </w:tc>
        <w:tc>
          <w:tcPr>
            <w:tcW w:w="1428"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3</w:t>
            </w:r>
          </w:p>
        </w:tc>
        <w:tc>
          <w:tcPr>
            <w:tcW w:w="1240"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4</w:t>
            </w:r>
          </w:p>
        </w:tc>
        <w:tc>
          <w:tcPr>
            <w:tcW w:w="1365"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5</w:t>
            </w:r>
          </w:p>
        </w:tc>
        <w:tc>
          <w:tcPr>
            <w:tcW w:w="1013"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6</w:t>
            </w:r>
          </w:p>
        </w:tc>
      </w:tr>
      <w:tr>
        <w:trPr>
          <w:trHeight w:val="279" w:hRule="atLeast"/>
        </w:trPr>
        <w:tc>
          <w:tcPr>
            <w:tcW w:w="3114" w:type="dxa"/>
            <w:tcBorders>
              <w:left w:val="single" w:sz="4" w:space="0" w:color="000000"/>
              <w:bottom w:val="single" w:sz="4" w:space="0" w:color="000000"/>
              <w:right w:val="single" w:sz="4" w:space="0" w:color="000000"/>
            </w:tcBorders>
            <w:vAlign w:val="center"/>
          </w:tcPr>
          <w:p>
            <w:pPr>
              <w:pStyle w:val="Normal"/>
              <w:widowControl w:val="false"/>
              <w:rPr>
                <w:b/>
                <w:bCs/>
                <w:sz w:val="20"/>
                <w:szCs w:val="20"/>
              </w:rPr>
            </w:pPr>
            <w:r>
              <w:rPr>
                <w:b/>
                <w:bCs/>
                <w:sz w:val="20"/>
                <w:szCs w:val="20"/>
              </w:rPr>
              <w:t>Муниципальная программа "Экономическое развитие Тулунского муниципального района" на 2021-2027 годы</w:t>
            </w:r>
          </w:p>
        </w:tc>
        <w:tc>
          <w:tcPr>
            <w:tcW w:w="1418" w:type="dxa"/>
            <w:tcBorders>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0100000000</w:t>
            </w:r>
          </w:p>
        </w:tc>
        <w:tc>
          <w:tcPr>
            <w:tcW w:w="142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146 532,7</w:t>
            </w:r>
          </w:p>
        </w:tc>
        <w:tc>
          <w:tcPr>
            <w:tcW w:w="1240"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145 263,5</w:t>
            </w:r>
          </w:p>
        </w:tc>
        <w:tc>
          <w:tcPr>
            <w:tcW w:w="1365"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-1 269,2</w:t>
            </w:r>
          </w:p>
        </w:tc>
        <w:tc>
          <w:tcPr>
            <w:tcW w:w="101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99,1</w:t>
            </w:r>
          </w:p>
        </w:tc>
      </w:tr>
      <w:tr>
        <w:trPr>
          <w:trHeight w:val="765" w:hRule="atLeast"/>
        </w:trPr>
        <w:tc>
          <w:tcPr>
            <w:tcW w:w="3114" w:type="dxa"/>
            <w:tcBorders>
              <w:left w:val="single" w:sz="4" w:space="0" w:color="000000"/>
              <w:bottom w:val="single" w:sz="4" w:space="0" w:color="000000"/>
              <w:right w:val="single" w:sz="4" w:space="0" w:color="000000"/>
            </w:tcBorders>
            <w:vAlign w:val="center"/>
          </w:tcPr>
          <w:p>
            <w:pPr>
              <w:pStyle w:val="Normal"/>
              <w:widowControl w:val="false"/>
              <w:rPr>
                <w:sz w:val="20"/>
                <w:szCs w:val="20"/>
              </w:rPr>
            </w:pPr>
            <w:r>
              <w:rPr>
                <w:sz w:val="20"/>
                <w:szCs w:val="20"/>
              </w:rPr>
              <w:t>Подпрограмма "Поддержка и развитие малого и среднего предпринимательства в Тулунском муниципальном районе на 2021-2027 годы."</w:t>
            </w:r>
          </w:p>
        </w:tc>
        <w:tc>
          <w:tcPr>
            <w:tcW w:w="1418" w:type="dxa"/>
            <w:tcBorders>
              <w:bottom w:val="single" w:sz="4" w:space="0" w:color="000000"/>
              <w:right w:val="single" w:sz="4" w:space="0" w:color="000000"/>
            </w:tcBorders>
            <w:vAlign w:val="center"/>
          </w:tcPr>
          <w:p>
            <w:pPr>
              <w:pStyle w:val="Normal"/>
              <w:widowControl w:val="false"/>
              <w:ind w:hanging="0" w:right="176"/>
              <w:jc w:val="center"/>
              <w:rPr>
                <w:sz w:val="20"/>
                <w:szCs w:val="20"/>
              </w:rPr>
            </w:pPr>
            <w:r>
              <w:rPr>
                <w:sz w:val="20"/>
                <w:szCs w:val="20"/>
              </w:rPr>
              <w:t>0110000000</w:t>
            </w:r>
          </w:p>
        </w:tc>
        <w:tc>
          <w:tcPr>
            <w:tcW w:w="1428"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0</w:t>
            </w:r>
          </w:p>
        </w:tc>
        <w:tc>
          <w:tcPr>
            <w:tcW w:w="1240"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0</w:t>
            </w:r>
          </w:p>
        </w:tc>
        <w:tc>
          <w:tcPr>
            <w:tcW w:w="1365"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0.0</w:t>
            </w:r>
          </w:p>
        </w:tc>
        <w:tc>
          <w:tcPr>
            <w:tcW w:w="1013"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0</w:t>
            </w:r>
          </w:p>
        </w:tc>
      </w:tr>
      <w:tr>
        <w:trPr>
          <w:trHeight w:val="330" w:hRule="atLeast"/>
        </w:trPr>
        <w:tc>
          <w:tcPr>
            <w:tcW w:w="3114" w:type="dxa"/>
            <w:tcBorders>
              <w:left w:val="single" w:sz="4" w:space="0" w:color="000000"/>
              <w:bottom w:val="single" w:sz="4" w:space="0" w:color="000000"/>
              <w:right w:val="single" w:sz="4" w:space="0" w:color="000000"/>
            </w:tcBorders>
            <w:vAlign w:val="center"/>
          </w:tcPr>
          <w:p>
            <w:pPr>
              <w:pStyle w:val="Normal"/>
              <w:widowControl w:val="false"/>
              <w:rPr>
                <w:sz w:val="20"/>
                <w:szCs w:val="20"/>
              </w:rPr>
            </w:pPr>
            <w:r>
              <w:rPr>
                <w:sz w:val="20"/>
                <w:szCs w:val="20"/>
              </w:rPr>
              <w:t>Подпрограмма "Создание условий для оказания медицинской помощи населению на территории Тулунского муниципального района" на 2021-2027 годы</w:t>
            </w:r>
          </w:p>
        </w:tc>
        <w:tc>
          <w:tcPr>
            <w:tcW w:w="1418" w:type="dxa"/>
            <w:tcBorders>
              <w:bottom w:val="single" w:sz="4" w:space="0" w:color="000000"/>
              <w:right w:val="single" w:sz="4" w:space="0" w:color="000000"/>
            </w:tcBorders>
            <w:vAlign w:val="center"/>
          </w:tcPr>
          <w:p>
            <w:pPr>
              <w:pStyle w:val="Normal"/>
              <w:widowControl w:val="false"/>
              <w:ind w:hanging="0" w:right="176"/>
              <w:jc w:val="center"/>
              <w:rPr>
                <w:sz w:val="20"/>
                <w:szCs w:val="20"/>
              </w:rPr>
            </w:pPr>
            <w:r>
              <w:rPr>
                <w:sz w:val="20"/>
                <w:szCs w:val="20"/>
              </w:rPr>
              <w:t>0120000000</w:t>
            </w:r>
          </w:p>
        </w:tc>
        <w:tc>
          <w:tcPr>
            <w:tcW w:w="1428"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100.0</w:t>
            </w:r>
          </w:p>
        </w:tc>
        <w:tc>
          <w:tcPr>
            <w:tcW w:w="1240"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0</w:t>
            </w:r>
          </w:p>
        </w:tc>
        <w:tc>
          <w:tcPr>
            <w:tcW w:w="1365"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-100.0</w:t>
            </w:r>
          </w:p>
        </w:tc>
        <w:tc>
          <w:tcPr>
            <w:tcW w:w="1013"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0</w:t>
            </w:r>
          </w:p>
        </w:tc>
      </w:tr>
      <w:tr>
        <w:trPr>
          <w:trHeight w:val="330" w:hRule="atLeast"/>
        </w:trPr>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0"/>
                <w:szCs w:val="20"/>
              </w:rPr>
            </w:pPr>
            <w:r>
              <w:rPr>
                <w:sz w:val="20"/>
                <w:szCs w:val="20"/>
              </w:rPr>
              <w:t>Подпрограмма "Обеспечение деятельности мэра Тулунского муниципального района и Администрации Тулунского муниципального района" на 2021-2027 годы</w:t>
            </w:r>
          </w:p>
        </w:tc>
        <w:tc>
          <w:tcPr>
            <w:tcW w:w="1418"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sz w:val="20"/>
                <w:szCs w:val="20"/>
              </w:rPr>
            </w:pPr>
            <w:r>
              <w:rPr>
                <w:sz w:val="20"/>
                <w:szCs w:val="20"/>
              </w:rPr>
              <w:t>0140000000</w:t>
            </w:r>
          </w:p>
        </w:tc>
        <w:tc>
          <w:tcPr>
            <w:tcW w:w="1428" w:type="dxa"/>
            <w:tcBorders>
              <w:top w:val="single" w:sz="4" w:space="0" w:color="000000"/>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146 432,7</w:t>
            </w:r>
          </w:p>
        </w:tc>
        <w:tc>
          <w:tcPr>
            <w:tcW w:w="1240" w:type="dxa"/>
            <w:tcBorders>
              <w:top w:val="single" w:sz="4" w:space="0" w:color="000000"/>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145 263,5</w:t>
            </w:r>
          </w:p>
        </w:tc>
        <w:tc>
          <w:tcPr>
            <w:tcW w:w="1365" w:type="dxa"/>
            <w:tcBorders>
              <w:top w:val="single" w:sz="4" w:space="0" w:color="000000"/>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-1169,2</w:t>
            </w:r>
          </w:p>
        </w:tc>
        <w:tc>
          <w:tcPr>
            <w:tcW w:w="1013" w:type="dxa"/>
            <w:tcBorders>
              <w:top w:val="single" w:sz="4" w:space="0" w:color="000000"/>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99.2</w:t>
            </w:r>
          </w:p>
        </w:tc>
      </w:tr>
    </w:tbl>
    <w:p>
      <w:pPr>
        <w:pStyle w:val="Normal"/>
        <w:rPr/>
      </w:pPr>
      <w:r>
        <w:rPr/>
      </w:r>
    </w:p>
    <w:p>
      <w:pPr>
        <w:pStyle w:val="Normal"/>
        <w:ind w:firstLine="709" w:right="176"/>
        <w:rPr/>
      </w:pPr>
      <w:r>
        <w:rPr>
          <w:sz w:val="25"/>
          <w:szCs w:val="25"/>
        </w:rPr>
        <w:t>Финансирование мероприятий муниципальной программы осуществлялось за счет средств местного и областного бюджетов. Общий объем расходов на финансовое обеспечение реализации муниципальной программы за 2025 год составил 145 263,5 тыс. руб. при плане 146 532,7 тыс. руб. или 99,1 % к плановым назначениям</w:t>
      </w:r>
      <w:r>
        <w:rPr>
          <w:color w:val="000000"/>
          <w:sz w:val="25"/>
          <w:szCs w:val="25"/>
        </w:rPr>
        <w:t xml:space="preserve">, </w:t>
      </w:r>
      <w:r>
        <w:rPr>
          <w:sz w:val="25"/>
          <w:szCs w:val="25"/>
        </w:rPr>
        <w:t>в том числе расходы произведены за счет средств бюджетов:</w:t>
      </w:r>
      <w:r>
        <w:rPr>
          <w:color w:val="000000"/>
          <w:sz w:val="25"/>
          <w:szCs w:val="25"/>
        </w:rPr>
        <w:t xml:space="preserve"> </w:t>
      </w:r>
      <w:r>
        <w:rPr>
          <w:sz w:val="25"/>
          <w:szCs w:val="25"/>
        </w:rPr>
        <w:t xml:space="preserve">федерального – 5,3 тыс. руб.; областного – 6 595,2 тыс. руб.; местного – 138 663,0 тыс. руб. </w:t>
      </w:r>
    </w:p>
    <w:p>
      <w:pPr>
        <w:pStyle w:val="Normal"/>
        <w:ind w:hanging="142" w:right="176"/>
        <w:jc w:val="center"/>
        <w:rPr>
          <w:sz w:val="25"/>
          <w:szCs w:val="25"/>
        </w:rPr>
      </w:pPr>
      <w:r>
        <w:rPr>
          <w:sz w:val="25"/>
          <w:szCs w:val="25"/>
        </w:rPr>
      </w:r>
    </w:p>
    <w:p>
      <w:pPr>
        <w:pStyle w:val="Normal"/>
        <w:ind w:hanging="142" w:right="176"/>
        <w:jc w:val="center"/>
        <w:rPr/>
      </w:pPr>
      <w:r>
        <w:rPr>
          <w:b/>
          <w:sz w:val="25"/>
          <w:szCs w:val="25"/>
        </w:rPr>
        <w:t xml:space="preserve">Информация о реализации мероприятий муниципальной программы </w:t>
      </w:r>
      <w:r>
        <w:rPr>
          <w:b/>
          <w:bCs/>
          <w:sz w:val="25"/>
          <w:szCs w:val="25"/>
        </w:rPr>
        <w:t>«Управление финансами Тулунского муниципального района» на 2020-2027 годы</w:t>
      </w:r>
    </w:p>
    <w:p>
      <w:pPr>
        <w:pStyle w:val="Normal"/>
        <w:ind w:hanging="142" w:right="176"/>
        <w:jc w:val="right"/>
        <w:rPr>
          <w:sz w:val="25"/>
          <w:szCs w:val="25"/>
        </w:rPr>
      </w:pPr>
      <w:r>
        <w:rPr>
          <w:sz w:val="25"/>
          <w:szCs w:val="25"/>
        </w:rPr>
        <w:t>(тыс. руб.)</w:t>
      </w:r>
    </w:p>
    <w:tbl>
      <w:tblPr>
        <w:tblW w:w="9696" w:type="dxa"/>
        <w:jc w:val="left"/>
        <w:tblInd w:w="82" w:type="dxa"/>
        <w:tblLayout w:type="fixed"/>
        <w:tblCellMar>
          <w:top w:w="0" w:type="dxa"/>
          <w:left w:w="108" w:type="dxa"/>
          <w:bottom w:w="0" w:type="dxa"/>
          <w:right w:w="108" w:type="dxa"/>
        </w:tblCellMar>
        <w:tblLook w:firstRow="1" w:noVBand="1" w:lastRow="0" w:firstColumn="1" w:lastColumn="0" w:noHBand="0" w:val="04a0"/>
      </w:tblPr>
      <w:tblGrid>
        <w:gridCol w:w="3061"/>
        <w:gridCol w:w="1759"/>
        <w:gridCol w:w="1362"/>
        <w:gridCol w:w="1245"/>
        <w:gridCol w:w="1375"/>
        <w:gridCol w:w="893"/>
      </w:tblGrid>
      <w:tr>
        <w:trPr>
          <w:trHeight w:val="510" w:hRule="atLeast"/>
        </w:trPr>
        <w:tc>
          <w:tcPr>
            <w:tcW w:w="30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Наименование муниципальной программы</w:t>
            </w:r>
          </w:p>
        </w:tc>
        <w:tc>
          <w:tcPr>
            <w:tcW w:w="1759"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КЦСР</w:t>
            </w:r>
          </w:p>
        </w:tc>
        <w:tc>
          <w:tcPr>
            <w:tcW w:w="1362"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План</w:t>
            </w:r>
          </w:p>
        </w:tc>
        <w:tc>
          <w:tcPr>
            <w:tcW w:w="1245"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Исполнение</w:t>
            </w:r>
          </w:p>
        </w:tc>
        <w:tc>
          <w:tcPr>
            <w:tcW w:w="1375"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Отклонение</w:t>
            </w:r>
          </w:p>
        </w:tc>
        <w:tc>
          <w:tcPr>
            <w:tcW w:w="893"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 исполнения</w:t>
            </w:r>
          </w:p>
        </w:tc>
      </w:tr>
      <w:tr>
        <w:trPr>
          <w:trHeight w:val="300" w:hRule="atLeast"/>
        </w:trPr>
        <w:tc>
          <w:tcPr>
            <w:tcW w:w="3061" w:type="dxa"/>
            <w:tcBorders>
              <w:left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w:t>
            </w:r>
          </w:p>
        </w:tc>
        <w:tc>
          <w:tcPr>
            <w:tcW w:w="1759"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2</w:t>
            </w:r>
          </w:p>
        </w:tc>
        <w:tc>
          <w:tcPr>
            <w:tcW w:w="1362"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3</w:t>
            </w:r>
          </w:p>
        </w:tc>
        <w:tc>
          <w:tcPr>
            <w:tcW w:w="1245"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4</w:t>
            </w:r>
          </w:p>
        </w:tc>
        <w:tc>
          <w:tcPr>
            <w:tcW w:w="1375"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5</w:t>
            </w:r>
          </w:p>
        </w:tc>
        <w:tc>
          <w:tcPr>
            <w:tcW w:w="893"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6</w:t>
            </w:r>
          </w:p>
        </w:tc>
      </w:tr>
      <w:tr>
        <w:trPr>
          <w:trHeight w:val="1020" w:hRule="atLeast"/>
        </w:trPr>
        <w:tc>
          <w:tcPr>
            <w:tcW w:w="3061" w:type="dxa"/>
            <w:tcBorders>
              <w:left w:val="single" w:sz="4" w:space="0" w:color="000000"/>
              <w:bottom w:val="single" w:sz="4" w:space="0" w:color="000000"/>
              <w:right w:val="single" w:sz="4" w:space="0" w:color="000000"/>
            </w:tcBorders>
            <w:vAlign w:val="center"/>
          </w:tcPr>
          <w:p>
            <w:pPr>
              <w:pStyle w:val="Normal"/>
              <w:widowControl w:val="false"/>
              <w:rPr>
                <w:b/>
                <w:bCs/>
                <w:sz w:val="20"/>
                <w:szCs w:val="20"/>
              </w:rPr>
            </w:pPr>
            <w:r>
              <w:rPr>
                <w:b/>
                <w:bCs/>
                <w:sz w:val="20"/>
                <w:szCs w:val="20"/>
              </w:rPr>
              <w:t>Муниципальная программа "Управление финансами Тулунского муниципального района" на 2020-2027 годы</w:t>
            </w:r>
          </w:p>
        </w:tc>
        <w:tc>
          <w:tcPr>
            <w:tcW w:w="1759"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02.0.00.00000</w:t>
            </w:r>
          </w:p>
        </w:tc>
        <w:tc>
          <w:tcPr>
            <w:tcW w:w="1362"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360 396,5</w:t>
            </w:r>
          </w:p>
        </w:tc>
        <w:tc>
          <w:tcPr>
            <w:tcW w:w="1245"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359 168,6</w:t>
            </w:r>
          </w:p>
        </w:tc>
        <w:tc>
          <w:tcPr>
            <w:tcW w:w="1375"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-1227,9</w:t>
            </w:r>
          </w:p>
        </w:tc>
        <w:tc>
          <w:tcPr>
            <w:tcW w:w="893"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99.7</w:t>
            </w:r>
          </w:p>
        </w:tc>
      </w:tr>
      <w:tr>
        <w:trPr>
          <w:trHeight w:val="1007" w:hRule="atLeast"/>
        </w:trPr>
        <w:tc>
          <w:tcPr>
            <w:tcW w:w="3061" w:type="dxa"/>
            <w:tcBorders>
              <w:left w:val="single" w:sz="4" w:space="0" w:color="000000"/>
              <w:bottom w:val="single" w:sz="4" w:space="0" w:color="000000"/>
              <w:right w:val="single" w:sz="4" w:space="0" w:color="000000"/>
            </w:tcBorders>
            <w:vAlign w:val="center"/>
          </w:tcPr>
          <w:p>
            <w:pPr>
              <w:pStyle w:val="Normal"/>
              <w:widowControl w:val="false"/>
              <w:rPr>
                <w:sz w:val="20"/>
                <w:szCs w:val="20"/>
              </w:rPr>
            </w:pPr>
            <w:r>
              <w:rPr>
                <w:sz w:val="20"/>
                <w:szCs w:val="20"/>
              </w:rPr>
              <w:t>Подпрограмма "Организация составления и исполнения бюджета Тулунского муниципального района, управление муниципальными финансами" на 2020 - 2027 годы</w:t>
            </w:r>
          </w:p>
        </w:tc>
        <w:tc>
          <w:tcPr>
            <w:tcW w:w="1759"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02.1.00.00000</w:t>
            </w:r>
          </w:p>
        </w:tc>
        <w:tc>
          <w:tcPr>
            <w:tcW w:w="1362"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358 895,1</w:t>
            </w:r>
          </w:p>
        </w:tc>
        <w:tc>
          <w:tcPr>
            <w:tcW w:w="1245"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357 690,8</w:t>
            </w:r>
          </w:p>
        </w:tc>
        <w:tc>
          <w:tcPr>
            <w:tcW w:w="1375"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-1204,3</w:t>
            </w:r>
          </w:p>
        </w:tc>
        <w:tc>
          <w:tcPr>
            <w:tcW w:w="89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99.7</w:t>
            </w:r>
          </w:p>
        </w:tc>
      </w:tr>
      <w:tr>
        <w:trPr>
          <w:trHeight w:val="1125" w:hRule="atLeast"/>
        </w:trPr>
        <w:tc>
          <w:tcPr>
            <w:tcW w:w="3061" w:type="dxa"/>
            <w:tcBorders>
              <w:left w:val="single" w:sz="4" w:space="0" w:color="000000"/>
              <w:bottom w:val="single" w:sz="4" w:space="0" w:color="000000"/>
              <w:right w:val="single" w:sz="4" w:space="0" w:color="000000"/>
            </w:tcBorders>
            <w:vAlign w:val="center"/>
          </w:tcPr>
          <w:p>
            <w:pPr>
              <w:pStyle w:val="Normal"/>
              <w:widowControl w:val="false"/>
              <w:rPr>
                <w:sz w:val="20"/>
                <w:szCs w:val="20"/>
              </w:rPr>
            </w:pPr>
            <w:r>
              <w:rPr>
                <w:sz w:val="20"/>
                <w:szCs w:val="20"/>
              </w:rPr>
              <w:t>Подпрограмма "Повышение эффективности бюджетных расходов Тулунского муниципального района" на 2020 - 2027 годы</w:t>
            </w:r>
          </w:p>
        </w:tc>
        <w:tc>
          <w:tcPr>
            <w:tcW w:w="1759"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02.2.00.00000</w:t>
            </w:r>
          </w:p>
        </w:tc>
        <w:tc>
          <w:tcPr>
            <w:tcW w:w="1362"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1 501,4</w:t>
            </w:r>
          </w:p>
        </w:tc>
        <w:tc>
          <w:tcPr>
            <w:tcW w:w="1245" w:type="dxa"/>
            <w:tcBorders>
              <w:bottom w:val="single" w:sz="4" w:space="0" w:color="000000"/>
              <w:right w:val="single" w:sz="4" w:space="0" w:color="000000"/>
            </w:tcBorders>
            <w:vAlign w:val="center"/>
          </w:tcPr>
          <w:p>
            <w:pPr>
              <w:pStyle w:val="Normal"/>
              <w:widowControl w:val="false"/>
              <w:ind w:hanging="0" w:right="176"/>
              <w:jc w:val="right"/>
              <w:rPr>
                <w:color w:val="000000"/>
                <w:sz w:val="20"/>
                <w:szCs w:val="20"/>
              </w:rPr>
            </w:pPr>
            <w:r>
              <w:rPr>
                <w:color w:val="000000"/>
                <w:sz w:val="20"/>
                <w:szCs w:val="20"/>
              </w:rPr>
              <w:t>1 477,8</w:t>
            </w:r>
          </w:p>
        </w:tc>
        <w:tc>
          <w:tcPr>
            <w:tcW w:w="1375"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-23,6</w:t>
            </w:r>
          </w:p>
        </w:tc>
        <w:tc>
          <w:tcPr>
            <w:tcW w:w="89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98.4</w:t>
            </w:r>
          </w:p>
        </w:tc>
      </w:tr>
    </w:tbl>
    <w:p>
      <w:pPr>
        <w:pStyle w:val="Normal"/>
        <w:rPr/>
      </w:pPr>
      <w:r>
        <w:rPr/>
      </w:r>
    </w:p>
    <w:p>
      <w:pPr>
        <w:pStyle w:val="Normal"/>
        <w:ind w:firstLine="709" w:right="176"/>
        <w:rPr/>
      </w:pPr>
      <w:r>
        <w:rPr>
          <w:sz w:val="25"/>
          <w:szCs w:val="25"/>
        </w:rPr>
        <w:t>Финансирование мероприятий муниципальной программы осуществлялось за счет средств местного и областного бюджетов. Общий объем расходов на финансовое обеспечение реализации муниципальной программы за 2025 год составил 359  168,6 тыс. руб. при плане 360 396,5 тыс. руб. или 99,7 % к плановым назначениям</w:t>
      </w:r>
      <w:r>
        <w:rPr>
          <w:color w:val="000000"/>
          <w:sz w:val="25"/>
          <w:szCs w:val="25"/>
        </w:rPr>
        <w:t xml:space="preserve">, </w:t>
      </w:r>
      <w:r>
        <w:rPr>
          <w:sz w:val="25"/>
          <w:szCs w:val="25"/>
        </w:rPr>
        <w:t xml:space="preserve">в том числе расходы произведены за счет средств бюджетов: областного – 286 518,4 тыс. руб.; местного – 72 650,2тыс. руб. </w:t>
      </w:r>
    </w:p>
    <w:p>
      <w:pPr>
        <w:pStyle w:val="Normal"/>
        <w:ind w:hanging="142" w:right="176"/>
        <w:rPr>
          <w:sz w:val="25"/>
          <w:szCs w:val="25"/>
        </w:rPr>
      </w:pPr>
      <w:r>
        <w:rPr>
          <w:sz w:val="25"/>
          <w:szCs w:val="25"/>
        </w:rPr>
        <w:t xml:space="preserve">      </w:t>
      </w:r>
    </w:p>
    <w:p>
      <w:pPr>
        <w:pStyle w:val="Normal"/>
        <w:ind w:hanging="142" w:right="176"/>
        <w:jc w:val="center"/>
        <w:rPr/>
      </w:pPr>
      <w:r>
        <w:rPr>
          <w:b/>
          <w:sz w:val="25"/>
          <w:szCs w:val="25"/>
        </w:rPr>
        <w:t xml:space="preserve">Информация о реализации мероприятий муниципальной программы </w:t>
      </w:r>
      <w:r>
        <w:rPr>
          <w:b/>
          <w:bCs/>
          <w:sz w:val="25"/>
          <w:szCs w:val="25"/>
        </w:rPr>
        <w:t>«Обеспечение комплексных мер безопасности на территории Тулунского муниципального района» на 2020-2027годы</w:t>
      </w:r>
    </w:p>
    <w:p>
      <w:pPr>
        <w:pStyle w:val="Normal"/>
        <w:ind w:hanging="142" w:right="176"/>
        <w:jc w:val="right"/>
        <w:rPr>
          <w:sz w:val="25"/>
          <w:szCs w:val="25"/>
        </w:rPr>
      </w:pPr>
      <w:r>
        <w:rPr>
          <w:sz w:val="25"/>
          <w:szCs w:val="25"/>
        </w:rPr>
        <w:t xml:space="preserve"> </w:t>
      </w:r>
      <w:r>
        <w:rPr>
          <w:sz w:val="25"/>
          <w:szCs w:val="25"/>
        </w:rPr>
        <w:t>(тыс. руб.)</w:t>
      </w:r>
    </w:p>
    <w:tbl>
      <w:tblPr>
        <w:tblW w:w="9696" w:type="dxa"/>
        <w:jc w:val="left"/>
        <w:tblInd w:w="-73" w:type="dxa"/>
        <w:tblLayout w:type="fixed"/>
        <w:tblCellMar>
          <w:top w:w="0" w:type="dxa"/>
          <w:left w:w="108" w:type="dxa"/>
          <w:bottom w:w="0" w:type="dxa"/>
          <w:right w:w="108" w:type="dxa"/>
        </w:tblCellMar>
        <w:tblLook w:firstRow="1" w:noVBand="1" w:lastRow="0" w:firstColumn="1" w:lastColumn="0" w:noHBand="0" w:val="04a0"/>
      </w:tblPr>
      <w:tblGrid>
        <w:gridCol w:w="3632"/>
        <w:gridCol w:w="1811"/>
        <w:gridCol w:w="1135"/>
        <w:gridCol w:w="1242"/>
        <w:gridCol w:w="1018"/>
        <w:gridCol w:w="857"/>
      </w:tblGrid>
      <w:tr>
        <w:trPr>
          <w:tblHeader w:val="true"/>
          <w:trHeight w:val="510" w:hRule="atLeast"/>
        </w:trPr>
        <w:tc>
          <w:tcPr>
            <w:tcW w:w="3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38" w:left="38" w:right="176"/>
              <w:jc w:val="center"/>
              <w:rPr>
                <w:b/>
                <w:bCs/>
                <w:sz w:val="20"/>
                <w:szCs w:val="20"/>
              </w:rPr>
            </w:pPr>
            <w:r>
              <w:rPr>
                <w:b/>
                <w:bCs/>
                <w:sz w:val="20"/>
                <w:szCs w:val="20"/>
              </w:rPr>
              <w:t>Наименование муниципальной программы</w:t>
            </w:r>
          </w:p>
        </w:tc>
        <w:tc>
          <w:tcPr>
            <w:tcW w:w="1811"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КЦСР</w:t>
            </w:r>
          </w:p>
        </w:tc>
        <w:tc>
          <w:tcPr>
            <w:tcW w:w="1135"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План</w:t>
            </w:r>
          </w:p>
        </w:tc>
        <w:tc>
          <w:tcPr>
            <w:tcW w:w="1242"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Исполнение</w:t>
            </w:r>
          </w:p>
        </w:tc>
        <w:tc>
          <w:tcPr>
            <w:tcW w:w="1018" w:type="dxa"/>
            <w:tcBorders>
              <w:top w:val="single" w:sz="4" w:space="0" w:color="000000"/>
              <w:bottom w:val="single" w:sz="4" w:space="0" w:color="000000"/>
              <w:right w:val="single" w:sz="4" w:space="0" w:color="000000"/>
            </w:tcBorders>
            <w:vAlign w:val="center"/>
          </w:tcPr>
          <w:p>
            <w:pPr>
              <w:pStyle w:val="Normal"/>
              <w:widowControl w:val="false"/>
              <w:ind w:hanging="38" w:left="38" w:right="176"/>
              <w:jc w:val="center"/>
              <w:rPr>
                <w:b/>
                <w:bCs/>
                <w:sz w:val="20"/>
                <w:szCs w:val="20"/>
              </w:rPr>
            </w:pPr>
            <w:r>
              <w:rPr>
                <w:b/>
                <w:bCs/>
                <w:sz w:val="20"/>
                <w:szCs w:val="20"/>
              </w:rPr>
              <w:t>Отклонение</w:t>
            </w:r>
          </w:p>
        </w:tc>
        <w:tc>
          <w:tcPr>
            <w:tcW w:w="857" w:type="dxa"/>
            <w:tcBorders>
              <w:top w:val="single" w:sz="4" w:space="0" w:color="000000"/>
              <w:bottom w:val="single" w:sz="4" w:space="0" w:color="000000"/>
              <w:right w:val="single" w:sz="4" w:space="0" w:color="000000"/>
            </w:tcBorders>
            <w:vAlign w:val="center"/>
          </w:tcPr>
          <w:p>
            <w:pPr>
              <w:pStyle w:val="Normal"/>
              <w:widowControl w:val="false"/>
              <w:ind w:hanging="38" w:left="38" w:right="176"/>
              <w:jc w:val="center"/>
              <w:rPr>
                <w:b/>
                <w:bCs/>
                <w:sz w:val="20"/>
                <w:szCs w:val="20"/>
              </w:rPr>
            </w:pPr>
            <w:r>
              <w:rPr>
                <w:b/>
                <w:bCs/>
                <w:sz w:val="20"/>
                <w:szCs w:val="20"/>
              </w:rPr>
              <w:t>% исполнения</w:t>
            </w:r>
          </w:p>
        </w:tc>
      </w:tr>
      <w:tr>
        <w:trPr>
          <w:tblHeader w:val="true"/>
          <w:trHeight w:val="300"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ind w:hanging="38" w:left="38" w:right="176"/>
              <w:jc w:val="center"/>
              <w:rPr>
                <w:b/>
                <w:bCs/>
                <w:sz w:val="20"/>
                <w:szCs w:val="20"/>
              </w:rPr>
            </w:pPr>
            <w:r>
              <w:rPr>
                <w:b/>
                <w:bCs/>
                <w:sz w:val="20"/>
                <w:szCs w:val="20"/>
              </w:rPr>
              <w:t>1</w:t>
            </w:r>
          </w:p>
        </w:tc>
        <w:tc>
          <w:tcPr>
            <w:tcW w:w="1811" w:type="dxa"/>
            <w:tcBorders>
              <w:bottom w:val="single" w:sz="4" w:space="0" w:color="000000"/>
              <w:right w:val="single" w:sz="4" w:space="0" w:color="000000"/>
            </w:tcBorders>
            <w:vAlign w:val="center"/>
          </w:tcPr>
          <w:p>
            <w:pPr>
              <w:pStyle w:val="Normal"/>
              <w:widowControl w:val="false"/>
              <w:ind w:hanging="38" w:left="38" w:right="176"/>
              <w:jc w:val="center"/>
              <w:rPr>
                <w:b/>
                <w:bCs/>
                <w:sz w:val="20"/>
                <w:szCs w:val="20"/>
              </w:rPr>
            </w:pPr>
            <w:r>
              <w:rPr>
                <w:b/>
                <w:bCs/>
                <w:sz w:val="20"/>
                <w:szCs w:val="20"/>
              </w:rPr>
              <w:t>2</w:t>
            </w:r>
          </w:p>
        </w:tc>
        <w:tc>
          <w:tcPr>
            <w:tcW w:w="1135" w:type="dxa"/>
            <w:tcBorders>
              <w:bottom w:val="single" w:sz="4" w:space="0" w:color="000000"/>
              <w:right w:val="single" w:sz="4" w:space="0" w:color="000000"/>
            </w:tcBorders>
            <w:vAlign w:val="center"/>
          </w:tcPr>
          <w:p>
            <w:pPr>
              <w:pStyle w:val="Normal"/>
              <w:widowControl w:val="false"/>
              <w:ind w:hanging="38" w:left="38" w:right="176"/>
              <w:jc w:val="center"/>
              <w:rPr>
                <w:b/>
                <w:bCs/>
                <w:sz w:val="20"/>
                <w:szCs w:val="20"/>
              </w:rPr>
            </w:pPr>
            <w:r>
              <w:rPr>
                <w:b/>
                <w:bCs/>
                <w:sz w:val="20"/>
                <w:szCs w:val="20"/>
              </w:rPr>
              <w:t>3</w:t>
            </w:r>
          </w:p>
        </w:tc>
        <w:tc>
          <w:tcPr>
            <w:tcW w:w="1242" w:type="dxa"/>
            <w:tcBorders>
              <w:bottom w:val="single" w:sz="4" w:space="0" w:color="000000"/>
              <w:right w:val="single" w:sz="4" w:space="0" w:color="000000"/>
            </w:tcBorders>
            <w:vAlign w:val="center"/>
          </w:tcPr>
          <w:p>
            <w:pPr>
              <w:pStyle w:val="Normal"/>
              <w:widowControl w:val="false"/>
              <w:ind w:hanging="38" w:left="38" w:right="176"/>
              <w:jc w:val="center"/>
              <w:rPr>
                <w:b/>
                <w:bCs/>
                <w:sz w:val="20"/>
                <w:szCs w:val="20"/>
              </w:rPr>
            </w:pPr>
            <w:r>
              <w:rPr>
                <w:b/>
                <w:bCs/>
                <w:sz w:val="20"/>
                <w:szCs w:val="20"/>
              </w:rPr>
              <w:t>4</w:t>
            </w:r>
          </w:p>
        </w:tc>
        <w:tc>
          <w:tcPr>
            <w:tcW w:w="1018" w:type="dxa"/>
            <w:tcBorders>
              <w:bottom w:val="single" w:sz="4" w:space="0" w:color="000000"/>
              <w:right w:val="single" w:sz="4" w:space="0" w:color="000000"/>
            </w:tcBorders>
            <w:vAlign w:val="center"/>
          </w:tcPr>
          <w:p>
            <w:pPr>
              <w:pStyle w:val="Normal"/>
              <w:widowControl w:val="false"/>
              <w:ind w:hanging="38" w:left="38" w:right="176"/>
              <w:jc w:val="center"/>
              <w:rPr>
                <w:b/>
                <w:bCs/>
                <w:sz w:val="20"/>
                <w:szCs w:val="20"/>
              </w:rPr>
            </w:pPr>
            <w:r>
              <w:rPr>
                <w:b/>
                <w:bCs/>
                <w:sz w:val="20"/>
                <w:szCs w:val="20"/>
              </w:rPr>
              <w:t>5</w:t>
            </w:r>
          </w:p>
        </w:tc>
        <w:tc>
          <w:tcPr>
            <w:tcW w:w="857" w:type="dxa"/>
            <w:tcBorders>
              <w:bottom w:val="single" w:sz="4" w:space="0" w:color="000000"/>
              <w:right w:val="single" w:sz="4" w:space="0" w:color="000000"/>
            </w:tcBorders>
            <w:vAlign w:val="center"/>
          </w:tcPr>
          <w:p>
            <w:pPr>
              <w:pStyle w:val="Normal"/>
              <w:widowControl w:val="false"/>
              <w:ind w:hanging="38" w:left="38" w:right="176"/>
              <w:jc w:val="center"/>
              <w:rPr>
                <w:b/>
                <w:bCs/>
                <w:sz w:val="20"/>
                <w:szCs w:val="20"/>
              </w:rPr>
            </w:pPr>
            <w:r>
              <w:rPr>
                <w:b/>
                <w:bCs/>
                <w:sz w:val="20"/>
                <w:szCs w:val="20"/>
              </w:rPr>
              <w:t>6</w:t>
            </w:r>
          </w:p>
        </w:tc>
      </w:tr>
      <w:tr>
        <w:trPr>
          <w:trHeight w:val="298" w:hRule="atLeast"/>
        </w:trPr>
        <w:tc>
          <w:tcPr>
            <w:tcW w:w="3632" w:type="dxa"/>
            <w:tcBorders>
              <w:left w:val="single" w:sz="4" w:space="0" w:color="000000"/>
              <w:bottom w:val="single" w:sz="4" w:space="0" w:color="000000"/>
              <w:right w:val="single" w:sz="4" w:space="0" w:color="000000"/>
            </w:tcBorders>
          </w:tcPr>
          <w:p>
            <w:pPr>
              <w:pStyle w:val="Normal"/>
              <w:widowControl w:val="false"/>
              <w:ind w:hanging="38" w:left="38" w:right="176"/>
              <w:rPr>
                <w:b/>
                <w:bCs/>
                <w:sz w:val="20"/>
                <w:szCs w:val="20"/>
              </w:rPr>
            </w:pPr>
            <w:r>
              <w:rPr>
                <w:b/>
                <w:bCs/>
                <w:sz w:val="20"/>
                <w:szCs w:val="20"/>
              </w:rPr>
              <w:t>Муниципальная программа "Обеспечение комплексных мер безопасности на территории Тулунского муниципального района" на 2020-2027 годы</w:t>
            </w:r>
          </w:p>
        </w:tc>
        <w:tc>
          <w:tcPr>
            <w:tcW w:w="1811" w:type="dxa"/>
            <w:tcBorders>
              <w:bottom w:val="single" w:sz="4" w:space="0" w:color="000000"/>
              <w:right w:val="single" w:sz="4" w:space="0" w:color="000000"/>
            </w:tcBorders>
            <w:vAlign w:val="center"/>
          </w:tcPr>
          <w:p>
            <w:pPr>
              <w:pStyle w:val="Normal"/>
              <w:widowControl w:val="false"/>
              <w:ind w:hanging="38" w:left="38" w:right="176"/>
              <w:jc w:val="center"/>
              <w:rPr>
                <w:b/>
                <w:bCs/>
                <w:sz w:val="20"/>
                <w:szCs w:val="20"/>
              </w:rPr>
            </w:pPr>
            <w:r>
              <w:rPr>
                <w:b/>
                <w:bCs/>
                <w:sz w:val="20"/>
                <w:szCs w:val="20"/>
              </w:rPr>
              <w:t>03.0.00.00000</w:t>
            </w:r>
          </w:p>
        </w:tc>
        <w:tc>
          <w:tcPr>
            <w:tcW w:w="1135" w:type="dxa"/>
            <w:tcBorders>
              <w:bottom w:val="single" w:sz="4" w:space="0" w:color="000000"/>
              <w:right w:val="single" w:sz="4" w:space="0" w:color="000000"/>
            </w:tcBorders>
            <w:vAlign w:val="center"/>
          </w:tcPr>
          <w:p>
            <w:pPr>
              <w:pStyle w:val="Normal"/>
              <w:widowControl w:val="false"/>
              <w:ind w:hanging="38" w:left="38" w:right="176"/>
              <w:jc w:val="center"/>
              <w:rPr>
                <w:b/>
                <w:bCs/>
                <w:color w:val="000000"/>
                <w:sz w:val="20"/>
                <w:szCs w:val="20"/>
              </w:rPr>
            </w:pPr>
            <w:r>
              <w:rPr>
                <w:b/>
                <w:bCs/>
                <w:color w:val="000000"/>
                <w:sz w:val="20"/>
                <w:szCs w:val="20"/>
              </w:rPr>
              <w:t>17 583,4</w:t>
            </w:r>
          </w:p>
        </w:tc>
        <w:tc>
          <w:tcPr>
            <w:tcW w:w="1242" w:type="dxa"/>
            <w:tcBorders>
              <w:bottom w:val="single" w:sz="4" w:space="0" w:color="000000"/>
              <w:right w:val="single" w:sz="4" w:space="0" w:color="000000"/>
            </w:tcBorders>
            <w:vAlign w:val="center"/>
          </w:tcPr>
          <w:p>
            <w:pPr>
              <w:pStyle w:val="Normal"/>
              <w:widowControl w:val="false"/>
              <w:ind w:hanging="38" w:left="38" w:right="176"/>
              <w:jc w:val="center"/>
              <w:rPr>
                <w:b/>
                <w:bCs/>
                <w:color w:val="000000"/>
                <w:sz w:val="20"/>
                <w:szCs w:val="20"/>
              </w:rPr>
            </w:pPr>
            <w:r>
              <w:rPr>
                <w:b/>
                <w:bCs/>
                <w:color w:val="000000"/>
                <w:sz w:val="20"/>
                <w:szCs w:val="20"/>
              </w:rPr>
              <w:t>17 088,9</w:t>
            </w:r>
          </w:p>
        </w:tc>
        <w:tc>
          <w:tcPr>
            <w:tcW w:w="1018" w:type="dxa"/>
            <w:tcBorders>
              <w:bottom w:val="single" w:sz="4" w:space="0" w:color="000000"/>
              <w:right w:val="single" w:sz="4" w:space="0" w:color="000000"/>
            </w:tcBorders>
            <w:vAlign w:val="center"/>
          </w:tcPr>
          <w:p>
            <w:pPr>
              <w:pStyle w:val="Normal"/>
              <w:widowControl w:val="false"/>
              <w:ind w:hanging="38" w:left="38" w:right="176"/>
              <w:jc w:val="center"/>
              <w:rPr>
                <w:b/>
                <w:bCs/>
                <w:color w:val="000000"/>
                <w:sz w:val="20"/>
                <w:szCs w:val="20"/>
              </w:rPr>
            </w:pPr>
            <w:r>
              <w:rPr>
                <w:b/>
                <w:bCs/>
                <w:color w:val="000000"/>
                <w:sz w:val="20"/>
                <w:szCs w:val="20"/>
              </w:rPr>
              <w:t>-494,5</w:t>
            </w:r>
          </w:p>
        </w:tc>
        <w:tc>
          <w:tcPr>
            <w:tcW w:w="857" w:type="dxa"/>
            <w:tcBorders>
              <w:bottom w:val="single" w:sz="4" w:space="0" w:color="000000"/>
              <w:right w:val="single" w:sz="4" w:space="0" w:color="000000"/>
            </w:tcBorders>
            <w:vAlign w:val="center"/>
          </w:tcPr>
          <w:p>
            <w:pPr>
              <w:pStyle w:val="Normal"/>
              <w:widowControl w:val="false"/>
              <w:ind w:hanging="38" w:left="38" w:right="176"/>
              <w:jc w:val="center"/>
              <w:rPr>
                <w:b/>
                <w:bCs/>
                <w:color w:val="000000"/>
                <w:sz w:val="20"/>
                <w:szCs w:val="20"/>
              </w:rPr>
            </w:pPr>
            <w:r>
              <w:rPr>
                <w:b/>
                <w:bCs/>
                <w:color w:val="000000"/>
                <w:sz w:val="20"/>
                <w:szCs w:val="20"/>
              </w:rPr>
              <w:t>97,2</w:t>
            </w:r>
          </w:p>
        </w:tc>
      </w:tr>
      <w:tr>
        <w:trPr>
          <w:trHeight w:val="1200" w:hRule="atLeast"/>
        </w:trPr>
        <w:tc>
          <w:tcPr>
            <w:tcW w:w="3632" w:type="dxa"/>
            <w:tcBorders>
              <w:left w:val="single" w:sz="4" w:space="0" w:color="000000"/>
              <w:bottom w:val="single" w:sz="4" w:space="0" w:color="000000"/>
              <w:right w:val="single" w:sz="4" w:space="0" w:color="000000"/>
            </w:tcBorders>
          </w:tcPr>
          <w:p>
            <w:pPr>
              <w:pStyle w:val="Normal"/>
              <w:widowControl w:val="false"/>
              <w:ind w:hanging="38" w:left="38" w:right="176"/>
              <w:rPr>
                <w:sz w:val="20"/>
                <w:szCs w:val="20"/>
              </w:rPr>
            </w:pPr>
            <w:r>
              <w:rPr>
                <w:sz w:val="20"/>
                <w:szCs w:val="20"/>
              </w:rPr>
              <w:t>Подпрограмма "Профилактика терроризма и экстремизма, а также минимизации и ликвидации последствий проявления терроризма и экстремизма на территории Тулунского муниципального района" на 2020-2027 годы</w:t>
            </w:r>
          </w:p>
        </w:tc>
        <w:tc>
          <w:tcPr>
            <w:tcW w:w="1811" w:type="dxa"/>
            <w:tcBorders>
              <w:bottom w:val="single" w:sz="4" w:space="0" w:color="000000"/>
              <w:right w:val="single" w:sz="4" w:space="0" w:color="000000"/>
            </w:tcBorders>
            <w:vAlign w:val="center"/>
          </w:tcPr>
          <w:p>
            <w:pPr>
              <w:pStyle w:val="Normal"/>
              <w:widowControl w:val="false"/>
              <w:ind w:hanging="38" w:left="38" w:right="176"/>
              <w:jc w:val="center"/>
              <w:rPr>
                <w:sz w:val="20"/>
                <w:szCs w:val="20"/>
              </w:rPr>
            </w:pPr>
            <w:r>
              <w:rPr>
                <w:sz w:val="20"/>
                <w:szCs w:val="20"/>
              </w:rPr>
              <w:t>03.1.00.00000</w:t>
            </w:r>
          </w:p>
        </w:tc>
        <w:tc>
          <w:tcPr>
            <w:tcW w:w="1135"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230,0</w:t>
            </w:r>
          </w:p>
        </w:tc>
        <w:tc>
          <w:tcPr>
            <w:tcW w:w="1242"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150,0</w:t>
            </w:r>
          </w:p>
        </w:tc>
        <w:tc>
          <w:tcPr>
            <w:tcW w:w="1018"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-80,0</w:t>
            </w:r>
          </w:p>
        </w:tc>
        <w:tc>
          <w:tcPr>
            <w:tcW w:w="857"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65,2</w:t>
            </w:r>
          </w:p>
        </w:tc>
      </w:tr>
      <w:tr>
        <w:trPr>
          <w:trHeight w:val="960" w:hRule="atLeast"/>
        </w:trPr>
        <w:tc>
          <w:tcPr>
            <w:tcW w:w="3632" w:type="dxa"/>
            <w:tcBorders>
              <w:left w:val="single" w:sz="4" w:space="0" w:color="000000"/>
              <w:bottom w:val="single" w:sz="4" w:space="0" w:color="000000"/>
              <w:right w:val="single" w:sz="4" w:space="0" w:color="000000"/>
            </w:tcBorders>
          </w:tcPr>
          <w:p>
            <w:pPr>
              <w:pStyle w:val="Normal"/>
              <w:widowControl w:val="false"/>
              <w:ind w:hanging="38" w:left="38" w:right="176"/>
              <w:rPr>
                <w:sz w:val="20"/>
                <w:szCs w:val="20"/>
              </w:rPr>
            </w:pPr>
            <w:r>
              <w:rPr>
                <w:sz w:val="20"/>
                <w:szCs w:val="20"/>
              </w:rPr>
              <w:t>Подпрограмма "Обеспечение защиты населения и территории Тулунского муниципального района от чрезвычайных ситуаций природного и техногенного характера" на 2020 – 2027 годы</w:t>
            </w:r>
          </w:p>
        </w:tc>
        <w:tc>
          <w:tcPr>
            <w:tcW w:w="1811" w:type="dxa"/>
            <w:tcBorders>
              <w:bottom w:val="single" w:sz="4" w:space="0" w:color="000000"/>
              <w:right w:val="single" w:sz="4" w:space="0" w:color="000000"/>
            </w:tcBorders>
            <w:vAlign w:val="center"/>
          </w:tcPr>
          <w:p>
            <w:pPr>
              <w:pStyle w:val="Normal"/>
              <w:widowControl w:val="false"/>
              <w:ind w:hanging="38" w:left="38" w:right="176"/>
              <w:jc w:val="center"/>
              <w:rPr>
                <w:sz w:val="20"/>
                <w:szCs w:val="20"/>
              </w:rPr>
            </w:pPr>
            <w:r>
              <w:rPr>
                <w:sz w:val="20"/>
                <w:szCs w:val="20"/>
              </w:rPr>
              <w:t>03.2.00.00000</w:t>
            </w:r>
          </w:p>
        </w:tc>
        <w:tc>
          <w:tcPr>
            <w:tcW w:w="1135"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16 203,8</w:t>
            </w:r>
          </w:p>
        </w:tc>
        <w:tc>
          <w:tcPr>
            <w:tcW w:w="1242"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16 194,0</w:t>
            </w:r>
          </w:p>
        </w:tc>
        <w:tc>
          <w:tcPr>
            <w:tcW w:w="1018"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-9,8</w:t>
            </w:r>
          </w:p>
        </w:tc>
        <w:tc>
          <w:tcPr>
            <w:tcW w:w="857"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99.9</w:t>
            </w:r>
          </w:p>
        </w:tc>
      </w:tr>
      <w:tr>
        <w:trPr>
          <w:trHeight w:val="720" w:hRule="atLeast"/>
        </w:trPr>
        <w:tc>
          <w:tcPr>
            <w:tcW w:w="3632" w:type="dxa"/>
            <w:tcBorders>
              <w:left w:val="single" w:sz="4" w:space="0" w:color="000000"/>
              <w:bottom w:val="single" w:sz="4" w:space="0" w:color="000000"/>
              <w:right w:val="single" w:sz="4" w:space="0" w:color="000000"/>
            </w:tcBorders>
          </w:tcPr>
          <w:p>
            <w:pPr>
              <w:pStyle w:val="Normal"/>
              <w:widowControl w:val="false"/>
              <w:ind w:hanging="38" w:left="38" w:right="176"/>
              <w:rPr>
                <w:sz w:val="20"/>
                <w:szCs w:val="20"/>
              </w:rPr>
            </w:pPr>
            <w:r>
              <w:rPr>
                <w:sz w:val="20"/>
                <w:szCs w:val="20"/>
              </w:rPr>
              <w:t>Подпрограмма "Повышение безопасности дорожного движения на территории Тулунского муниципального района" на 2020-2027 годы</w:t>
            </w:r>
          </w:p>
        </w:tc>
        <w:tc>
          <w:tcPr>
            <w:tcW w:w="1811" w:type="dxa"/>
            <w:tcBorders>
              <w:bottom w:val="single" w:sz="4" w:space="0" w:color="000000"/>
              <w:right w:val="single" w:sz="4" w:space="0" w:color="000000"/>
            </w:tcBorders>
            <w:vAlign w:val="center"/>
          </w:tcPr>
          <w:p>
            <w:pPr>
              <w:pStyle w:val="Normal"/>
              <w:widowControl w:val="false"/>
              <w:ind w:hanging="38" w:left="38" w:right="176"/>
              <w:jc w:val="center"/>
              <w:rPr>
                <w:sz w:val="20"/>
                <w:szCs w:val="20"/>
              </w:rPr>
            </w:pPr>
            <w:r>
              <w:rPr>
                <w:sz w:val="20"/>
                <w:szCs w:val="20"/>
              </w:rPr>
              <w:t>03.3.00.00000</w:t>
            </w:r>
          </w:p>
        </w:tc>
        <w:tc>
          <w:tcPr>
            <w:tcW w:w="1135"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71,59</w:t>
            </w:r>
          </w:p>
        </w:tc>
        <w:tc>
          <w:tcPr>
            <w:tcW w:w="1242"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71,5</w:t>
            </w:r>
          </w:p>
        </w:tc>
        <w:tc>
          <w:tcPr>
            <w:tcW w:w="1018"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0.0</w:t>
            </w:r>
          </w:p>
        </w:tc>
        <w:tc>
          <w:tcPr>
            <w:tcW w:w="857"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100.0</w:t>
            </w:r>
          </w:p>
        </w:tc>
      </w:tr>
      <w:tr>
        <w:trPr>
          <w:trHeight w:val="960" w:hRule="atLeast"/>
        </w:trPr>
        <w:tc>
          <w:tcPr>
            <w:tcW w:w="3632" w:type="dxa"/>
            <w:tcBorders>
              <w:left w:val="single" w:sz="4" w:space="0" w:color="000000"/>
              <w:bottom w:val="single" w:sz="4" w:space="0" w:color="000000"/>
              <w:right w:val="single" w:sz="4" w:space="0" w:color="000000"/>
            </w:tcBorders>
          </w:tcPr>
          <w:p>
            <w:pPr>
              <w:pStyle w:val="Normal"/>
              <w:widowControl w:val="false"/>
              <w:ind w:hanging="38" w:left="38" w:right="176"/>
              <w:rPr>
                <w:sz w:val="20"/>
                <w:szCs w:val="20"/>
              </w:rPr>
            </w:pPr>
            <w:r>
              <w:rPr>
                <w:sz w:val="20"/>
                <w:szCs w:val="20"/>
              </w:rPr>
              <w:t>Подпрограмма "Создание условий для организации мероприятий по отлову и содержанию безнадзорных собак и кошек на территории Тулунского муниципального района" на 2020-2027 годы</w:t>
            </w:r>
          </w:p>
        </w:tc>
        <w:tc>
          <w:tcPr>
            <w:tcW w:w="1811" w:type="dxa"/>
            <w:tcBorders>
              <w:bottom w:val="single" w:sz="4" w:space="0" w:color="000000"/>
              <w:right w:val="single" w:sz="4" w:space="0" w:color="000000"/>
            </w:tcBorders>
            <w:vAlign w:val="center"/>
          </w:tcPr>
          <w:p>
            <w:pPr>
              <w:pStyle w:val="Normal"/>
              <w:widowControl w:val="false"/>
              <w:ind w:hanging="38" w:left="38" w:right="176"/>
              <w:jc w:val="center"/>
              <w:rPr>
                <w:sz w:val="20"/>
                <w:szCs w:val="20"/>
              </w:rPr>
            </w:pPr>
            <w:r>
              <w:rPr>
                <w:sz w:val="20"/>
                <w:szCs w:val="20"/>
              </w:rPr>
              <w:t>03.5.00.00000</w:t>
            </w:r>
          </w:p>
        </w:tc>
        <w:tc>
          <w:tcPr>
            <w:tcW w:w="1135"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1 078,1</w:t>
            </w:r>
          </w:p>
        </w:tc>
        <w:tc>
          <w:tcPr>
            <w:tcW w:w="1242"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673,4</w:t>
            </w:r>
          </w:p>
        </w:tc>
        <w:tc>
          <w:tcPr>
            <w:tcW w:w="1018"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-404,7</w:t>
            </w:r>
          </w:p>
        </w:tc>
        <w:tc>
          <w:tcPr>
            <w:tcW w:w="857"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62,5</w:t>
            </w:r>
          </w:p>
        </w:tc>
      </w:tr>
      <w:tr>
        <w:trPr>
          <w:trHeight w:val="624" w:hRule="atLeast"/>
        </w:trPr>
        <w:tc>
          <w:tcPr>
            <w:tcW w:w="3632" w:type="dxa"/>
            <w:tcBorders>
              <w:left w:val="single" w:sz="4" w:space="0" w:color="000000"/>
              <w:bottom w:val="single" w:sz="4" w:space="0" w:color="000000"/>
              <w:right w:val="single" w:sz="4" w:space="0" w:color="000000"/>
            </w:tcBorders>
          </w:tcPr>
          <w:p>
            <w:pPr>
              <w:pStyle w:val="Normal"/>
              <w:widowControl w:val="false"/>
              <w:ind w:hanging="38" w:left="38" w:right="176"/>
              <w:rPr>
                <w:sz w:val="20"/>
                <w:szCs w:val="20"/>
              </w:rPr>
            </w:pPr>
            <w:r>
              <w:rPr>
                <w:sz w:val="20"/>
                <w:szCs w:val="20"/>
              </w:rPr>
              <w:t>Подпрограмма "Профилактика ВИЧ - инфекций на территории Тулунского муниципального района" на 2020-2027 годы</w:t>
            </w:r>
          </w:p>
        </w:tc>
        <w:tc>
          <w:tcPr>
            <w:tcW w:w="1811" w:type="dxa"/>
            <w:tcBorders>
              <w:bottom w:val="single" w:sz="4" w:space="0" w:color="000000"/>
              <w:right w:val="single" w:sz="4" w:space="0" w:color="000000"/>
            </w:tcBorders>
            <w:vAlign w:val="center"/>
          </w:tcPr>
          <w:p>
            <w:pPr>
              <w:pStyle w:val="Normal"/>
              <w:widowControl w:val="false"/>
              <w:ind w:hanging="38" w:left="38" w:right="176"/>
              <w:jc w:val="center"/>
              <w:rPr>
                <w:sz w:val="20"/>
                <w:szCs w:val="20"/>
              </w:rPr>
            </w:pPr>
            <w:r>
              <w:rPr>
                <w:sz w:val="20"/>
                <w:szCs w:val="20"/>
              </w:rPr>
              <w:t>03.6.00.00000</w:t>
            </w:r>
          </w:p>
        </w:tc>
        <w:tc>
          <w:tcPr>
            <w:tcW w:w="1135"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0</w:t>
            </w:r>
          </w:p>
        </w:tc>
        <w:tc>
          <w:tcPr>
            <w:tcW w:w="1242"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0</w:t>
            </w:r>
          </w:p>
        </w:tc>
        <w:tc>
          <w:tcPr>
            <w:tcW w:w="1018"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0</w:t>
            </w:r>
          </w:p>
        </w:tc>
        <w:tc>
          <w:tcPr>
            <w:tcW w:w="857" w:type="dxa"/>
            <w:tcBorders>
              <w:bottom w:val="single" w:sz="4" w:space="0" w:color="000000"/>
              <w:right w:val="single" w:sz="4" w:space="0" w:color="000000"/>
            </w:tcBorders>
            <w:vAlign w:val="center"/>
          </w:tcPr>
          <w:p>
            <w:pPr>
              <w:pStyle w:val="Normal"/>
              <w:widowControl w:val="false"/>
              <w:ind w:hanging="38" w:left="38" w:right="176"/>
              <w:jc w:val="center"/>
              <w:rPr>
                <w:color w:val="000000"/>
                <w:sz w:val="20"/>
                <w:szCs w:val="20"/>
              </w:rPr>
            </w:pPr>
            <w:r>
              <w:rPr>
                <w:color w:val="000000"/>
                <w:sz w:val="20"/>
                <w:szCs w:val="20"/>
              </w:rPr>
              <w:t>0</w:t>
            </w:r>
          </w:p>
        </w:tc>
      </w:tr>
    </w:tbl>
    <w:p>
      <w:pPr>
        <w:pStyle w:val="Normal"/>
        <w:rPr/>
      </w:pPr>
      <w:r>
        <w:rPr/>
      </w:r>
    </w:p>
    <w:p>
      <w:pPr>
        <w:pStyle w:val="Normal"/>
        <w:ind w:firstLine="709" w:right="176"/>
        <w:rPr/>
      </w:pPr>
      <w:r>
        <w:rPr>
          <w:sz w:val="25"/>
          <w:szCs w:val="25"/>
        </w:rPr>
        <w:t xml:space="preserve">Финансирование мероприятий муниципальной программы осуществлялось за счет средств местного и областного бюджетов. Общий объем расходов на финансовое обеспечение реализации муниципальной программы за 2025 год составил 17088,9 тыс. руб. при плане 17 583,4тыс. руб. или 97,2 % к плановым назначениям, в том числе расходы произведены за счет средств бюджетов: областного – 673,4 тыс. руб.; местного – 16 415,5 тыс. руб. </w:t>
      </w:r>
    </w:p>
    <w:p>
      <w:pPr>
        <w:pStyle w:val="Normal"/>
        <w:ind w:firstLine="709" w:right="0"/>
        <w:rPr>
          <w:sz w:val="25"/>
          <w:szCs w:val="25"/>
        </w:rPr>
      </w:pPr>
      <w:r>
        <w:rPr>
          <w:sz w:val="25"/>
          <w:szCs w:val="25"/>
        </w:rPr>
      </w:r>
    </w:p>
    <w:p>
      <w:pPr>
        <w:pStyle w:val="Normal"/>
        <w:ind w:hanging="142" w:right="176"/>
        <w:jc w:val="center"/>
        <w:rPr>
          <w:b/>
          <w:sz w:val="25"/>
          <w:szCs w:val="25"/>
        </w:rPr>
      </w:pPr>
      <w:r>
        <w:rPr>
          <w:b/>
          <w:sz w:val="25"/>
          <w:szCs w:val="25"/>
        </w:rPr>
        <w:t xml:space="preserve"> </w:t>
      </w:r>
      <w:r>
        <w:rPr>
          <w:b/>
          <w:sz w:val="25"/>
          <w:szCs w:val="25"/>
        </w:rPr>
        <w:t>Информация о реализации мероприятий муниципальной программы</w:t>
      </w:r>
    </w:p>
    <w:p>
      <w:pPr>
        <w:pStyle w:val="Normal"/>
        <w:ind w:hanging="142" w:right="176"/>
        <w:jc w:val="center"/>
        <w:rPr/>
      </w:pPr>
      <w:r>
        <w:rPr>
          <w:b/>
          <w:sz w:val="25"/>
          <w:szCs w:val="25"/>
        </w:rPr>
        <w:t xml:space="preserve"> </w:t>
      </w:r>
      <w:r>
        <w:rPr>
          <w:b/>
          <w:bCs/>
          <w:color w:val="000000"/>
          <w:sz w:val="25"/>
          <w:szCs w:val="25"/>
        </w:rPr>
        <w:t>«Развитие инфраструктуры на территории Тулунского муниципального района» на 2021-2027гг.</w:t>
      </w:r>
    </w:p>
    <w:p>
      <w:pPr>
        <w:pStyle w:val="Normal"/>
        <w:ind w:hanging="142" w:right="176"/>
        <w:jc w:val="right"/>
        <w:rPr>
          <w:sz w:val="25"/>
          <w:szCs w:val="25"/>
        </w:rPr>
      </w:pPr>
      <w:r>
        <w:rPr>
          <w:sz w:val="25"/>
          <w:szCs w:val="25"/>
        </w:rPr>
        <w:t>(тыс. руб.)</w:t>
      </w:r>
    </w:p>
    <w:tbl>
      <w:tblPr>
        <w:tblW w:w="9696" w:type="dxa"/>
        <w:jc w:val="left"/>
        <w:tblInd w:w="-95" w:type="dxa"/>
        <w:tblLayout w:type="fixed"/>
        <w:tblCellMar>
          <w:top w:w="0" w:type="dxa"/>
          <w:left w:w="108" w:type="dxa"/>
          <w:bottom w:w="0" w:type="dxa"/>
          <w:right w:w="108" w:type="dxa"/>
        </w:tblCellMar>
        <w:tblLook w:firstRow="1" w:noVBand="1" w:lastRow="0" w:firstColumn="1" w:lastColumn="0" w:noHBand="0" w:val="04a0"/>
      </w:tblPr>
      <w:tblGrid>
        <w:gridCol w:w="3632"/>
        <w:gridCol w:w="1694"/>
        <w:gridCol w:w="1199"/>
        <w:gridCol w:w="1191"/>
        <w:gridCol w:w="1018"/>
        <w:gridCol w:w="961"/>
      </w:tblGrid>
      <w:tr>
        <w:trPr>
          <w:tblHeader w:val="true"/>
          <w:trHeight w:val="525" w:hRule="atLeast"/>
        </w:trPr>
        <w:tc>
          <w:tcPr>
            <w:tcW w:w="3632"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jc w:val="center"/>
              <w:rPr>
                <w:b/>
                <w:bCs/>
                <w:color w:val="000000"/>
                <w:sz w:val="20"/>
                <w:szCs w:val="20"/>
              </w:rPr>
            </w:pPr>
            <w:r>
              <w:rPr>
                <w:b/>
                <w:bCs/>
                <w:color w:val="000000"/>
                <w:sz w:val="20"/>
                <w:szCs w:val="20"/>
              </w:rPr>
              <w:t>Наименование муниципальной программы</w:t>
            </w:r>
          </w:p>
        </w:tc>
        <w:tc>
          <w:tcPr>
            <w:tcW w:w="1694"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КЦСР</w:t>
            </w:r>
          </w:p>
        </w:tc>
        <w:tc>
          <w:tcPr>
            <w:tcW w:w="1199"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План</w:t>
            </w:r>
          </w:p>
        </w:tc>
        <w:tc>
          <w:tcPr>
            <w:tcW w:w="1191"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Исполнение</w:t>
            </w:r>
          </w:p>
        </w:tc>
        <w:tc>
          <w:tcPr>
            <w:tcW w:w="1018"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отклонение</w:t>
            </w:r>
          </w:p>
        </w:tc>
        <w:tc>
          <w:tcPr>
            <w:tcW w:w="961"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w:t>
            </w:r>
          </w:p>
          <w:p>
            <w:pPr>
              <w:pStyle w:val="Normal"/>
              <w:widowControl w:val="false"/>
              <w:ind w:hanging="0" w:right="176"/>
              <w:jc w:val="center"/>
              <w:rPr>
                <w:b/>
                <w:bCs/>
                <w:color w:val="000000"/>
                <w:sz w:val="20"/>
                <w:szCs w:val="20"/>
              </w:rPr>
            </w:pPr>
            <w:r>
              <w:rPr>
                <w:b/>
                <w:bCs/>
                <w:color w:val="000000"/>
                <w:sz w:val="20"/>
                <w:szCs w:val="20"/>
              </w:rPr>
              <w:t>исполнения</w:t>
            </w:r>
          </w:p>
        </w:tc>
      </w:tr>
      <w:tr>
        <w:trPr>
          <w:tblHeader w:val="true"/>
          <w:trHeight w:val="300" w:hRule="atLeast"/>
        </w:trPr>
        <w:tc>
          <w:tcPr>
            <w:tcW w:w="3632" w:type="dxa"/>
            <w:tcBorders>
              <w:left w:val="single" w:sz="4" w:space="0" w:color="000000"/>
              <w:bottom w:val="single" w:sz="4" w:space="0" w:color="000000"/>
              <w:right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1</w:t>
            </w:r>
          </w:p>
        </w:tc>
        <w:tc>
          <w:tcPr>
            <w:tcW w:w="1694" w:type="dxa"/>
            <w:tcBorders>
              <w:bottom w:val="single" w:sz="4" w:space="0" w:color="000000"/>
              <w:right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2</w:t>
            </w:r>
          </w:p>
        </w:tc>
        <w:tc>
          <w:tcPr>
            <w:tcW w:w="1199" w:type="dxa"/>
            <w:tcBorders>
              <w:bottom w:val="single" w:sz="4" w:space="0" w:color="000000"/>
              <w:right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3</w:t>
            </w:r>
          </w:p>
        </w:tc>
        <w:tc>
          <w:tcPr>
            <w:tcW w:w="1191" w:type="dxa"/>
            <w:tcBorders>
              <w:bottom w:val="single" w:sz="4" w:space="0" w:color="000000"/>
              <w:right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4</w:t>
            </w:r>
          </w:p>
        </w:tc>
        <w:tc>
          <w:tcPr>
            <w:tcW w:w="1018" w:type="dxa"/>
            <w:tcBorders>
              <w:bottom w:val="single" w:sz="4" w:space="0" w:color="000000"/>
              <w:right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5</w:t>
            </w:r>
          </w:p>
        </w:tc>
        <w:tc>
          <w:tcPr>
            <w:tcW w:w="961" w:type="dxa"/>
            <w:tcBorders>
              <w:bottom w:val="single" w:sz="4" w:space="0" w:color="000000"/>
              <w:right w:val="single" w:sz="4" w:space="0" w:color="000000"/>
            </w:tcBorders>
            <w:vAlign w:val="bottom"/>
          </w:tcPr>
          <w:p>
            <w:pPr>
              <w:pStyle w:val="Normal"/>
              <w:widowControl w:val="false"/>
              <w:ind w:hanging="0" w:right="176"/>
              <w:jc w:val="center"/>
              <w:rPr>
                <w:b/>
                <w:bCs/>
                <w:color w:val="000000"/>
                <w:sz w:val="20"/>
                <w:szCs w:val="20"/>
              </w:rPr>
            </w:pPr>
            <w:r>
              <w:rPr>
                <w:b/>
                <w:bCs/>
                <w:color w:val="000000"/>
                <w:sz w:val="20"/>
                <w:szCs w:val="20"/>
              </w:rPr>
              <w:t>6</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hanging="0" w:left="0" w:right="170"/>
              <w:jc w:val="both"/>
              <w:rPr>
                <w:b/>
                <w:bCs/>
                <w:sz w:val="20"/>
                <w:szCs w:val="20"/>
              </w:rPr>
            </w:pPr>
            <w:r>
              <w:rPr>
                <w:b/>
                <w:bCs/>
                <w:sz w:val="20"/>
                <w:szCs w:val="20"/>
              </w:rPr>
              <w:t>Муниципальная программа "Развитие инфраструктуры на территории Тулунского муниципального района" на 2021-2027 гг.</w:t>
            </w:r>
          </w:p>
        </w:tc>
        <w:tc>
          <w:tcPr>
            <w:tcW w:w="1694"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04.0.00.00000</w:t>
            </w:r>
          </w:p>
        </w:tc>
        <w:tc>
          <w:tcPr>
            <w:tcW w:w="1199"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86 833,6</w:t>
            </w:r>
          </w:p>
        </w:tc>
        <w:tc>
          <w:tcPr>
            <w:tcW w:w="1191"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74 513,8</w:t>
            </w:r>
          </w:p>
        </w:tc>
        <w:tc>
          <w:tcPr>
            <w:tcW w:w="1018"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-12 319,8</w:t>
            </w:r>
          </w:p>
        </w:tc>
        <w:tc>
          <w:tcPr>
            <w:tcW w:w="961"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85,8</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hanging="0" w:left="0" w:right="170"/>
              <w:jc w:val="both"/>
              <w:rPr>
                <w:sz w:val="20"/>
                <w:szCs w:val="20"/>
              </w:rPr>
            </w:pPr>
            <w:r>
              <w:rPr>
                <w:sz w:val="20"/>
                <w:szCs w:val="20"/>
              </w:rPr>
              <w:t>Подпрограмма "Развитие и содержание автомобильных дорог местного значения вне границ населенных пунктов в границах Тулунского муниципального района" на 2021-2027 гг.</w:t>
            </w:r>
          </w:p>
        </w:tc>
        <w:tc>
          <w:tcPr>
            <w:tcW w:w="169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04.1.00.00000</w:t>
            </w:r>
          </w:p>
        </w:tc>
        <w:tc>
          <w:tcPr>
            <w:tcW w:w="1199"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57 530,0</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50 412,4</w:t>
            </w:r>
          </w:p>
        </w:tc>
        <w:tc>
          <w:tcPr>
            <w:tcW w:w="101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-7117,6</w:t>
            </w:r>
          </w:p>
        </w:tc>
        <w:tc>
          <w:tcPr>
            <w:tcW w:w="96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87,6</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hanging="0" w:left="0" w:right="170"/>
              <w:jc w:val="both"/>
              <w:rPr>
                <w:sz w:val="20"/>
                <w:szCs w:val="20"/>
              </w:rPr>
            </w:pPr>
            <w:r>
              <w:rPr>
                <w:sz w:val="20"/>
                <w:szCs w:val="20"/>
              </w:rPr>
              <w:t>Подпрограмма "Энергосбережение и повышение энергетической эффективности на территории Тулунского муниципального района" на 2021-2027 гг.</w:t>
            </w:r>
          </w:p>
        </w:tc>
        <w:tc>
          <w:tcPr>
            <w:tcW w:w="169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04.2.00.00000</w:t>
            </w:r>
          </w:p>
        </w:tc>
        <w:tc>
          <w:tcPr>
            <w:tcW w:w="1199"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17 672,7</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17 372,9</w:t>
            </w:r>
          </w:p>
        </w:tc>
        <w:tc>
          <w:tcPr>
            <w:tcW w:w="101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-299,8</w:t>
            </w:r>
          </w:p>
        </w:tc>
        <w:tc>
          <w:tcPr>
            <w:tcW w:w="96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98.3</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hanging="0" w:left="0" w:right="170"/>
              <w:jc w:val="both"/>
              <w:rPr>
                <w:sz w:val="20"/>
                <w:szCs w:val="20"/>
              </w:rPr>
            </w:pPr>
            <w:r>
              <w:rPr>
                <w:sz w:val="20"/>
                <w:szCs w:val="20"/>
              </w:rPr>
              <w:t>Подпрограмма «Корректировка схемы территориального планирования Тулунского  муниципального района. Актулизация документов территорального планирования и градостроительного зонирования сельских поселений « на 2021-2027гг.</w:t>
            </w:r>
          </w:p>
        </w:tc>
        <w:tc>
          <w:tcPr>
            <w:tcW w:w="169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04.3.00.00000</w:t>
            </w:r>
          </w:p>
        </w:tc>
        <w:tc>
          <w:tcPr>
            <w:tcW w:w="1199"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12,0</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12,0</w:t>
            </w:r>
          </w:p>
        </w:tc>
        <w:tc>
          <w:tcPr>
            <w:tcW w:w="101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r>
          </w:p>
        </w:tc>
        <w:tc>
          <w:tcPr>
            <w:tcW w:w="96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hanging="0" w:left="0" w:right="170"/>
              <w:jc w:val="both"/>
              <w:rPr>
                <w:sz w:val="20"/>
                <w:szCs w:val="20"/>
              </w:rPr>
            </w:pPr>
            <w:r>
              <w:rPr>
                <w:sz w:val="20"/>
                <w:szCs w:val="20"/>
              </w:rPr>
              <w:t>Подпрограмма "Организация мероприятий межпоселенческого характера по охране окружающей среды" на 2021-2027 гг.</w:t>
            </w:r>
          </w:p>
        </w:tc>
        <w:tc>
          <w:tcPr>
            <w:tcW w:w="169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04.4.00.00000</w:t>
            </w:r>
          </w:p>
        </w:tc>
        <w:tc>
          <w:tcPr>
            <w:tcW w:w="1199"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4 946,4</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44,0</w:t>
            </w:r>
          </w:p>
        </w:tc>
        <w:tc>
          <w:tcPr>
            <w:tcW w:w="101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w:t>
            </w:r>
          </w:p>
        </w:tc>
        <w:tc>
          <w:tcPr>
            <w:tcW w:w="96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100,0</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hanging="0" w:left="0" w:right="170"/>
              <w:jc w:val="both"/>
              <w:rPr>
                <w:sz w:val="20"/>
                <w:szCs w:val="20"/>
              </w:rPr>
            </w:pPr>
            <w:r>
              <w:rPr>
                <w:sz w:val="20"/>
                <w:szCs w:val="20"/>
              </w:rPr>
              <w:t>Подпрограмма "Развитие услуг связи на территории Тулунского муниципального района" на 2024-2027гг.</w:t>
            </w:r>
          </w:p>
        </w:tc>
        <w:tc>
          <w:tcPr>
            <w:tcW w:w="169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04.5.00.00000</w:t>
            </w:r>
          </w:p>
        </w:tc>
        <w:tc>
          <w:tcPr>
            <w:tcW w:w="1199"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6 672,5</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6 672,5</w:t>
            </w:r>
          </w:p>
        </w:tc>
        <w:tc>
          <w:tcPr>
            <w:tcW w:w="101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0.0</w:t>
            </w:r>
          </w:p>
        </w:tc>
        <w:tc>
          <w:tcPr>
            <w:tcW w:w="96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100.0</w:t>
            </w:r>
          </w:p>
        </w:tc>
      </w:tr>
    </w:tbl>
    <w:p>
      <w:pPr>
        <w:pStyle w:val="Normal"/>
        <w:rPr/>
      </w:pPr>
      <w:r>
        <w:rPr/>
      </w:r>
    </w:p>
    <w:p>
      <w:pPr>
        <w:pStyle w:val="Normal"/>
        <w:ind w:firstLine="709" w:right="176"/>
        <w:rPr/>
      </w:pPr>
      <w:r>
        <w:rPr>
          <w:sz w:val="25"/>
          <w:szCs w:val="25"/>
        </w:rPr>
        <w:t xml:space="preserve">Финансирование мероприятий муниципальной программы осуществлялось за счет средств местного и областного бюджетов. </w:t>
      </w:r>
      <w:r>
        <w:rPr>
          <w:color w:val="000000"/>
          <w:sz w:val="25"/>
          <w:szCs w:val="25"/>
        </w:rPr>
        <w:t xml:space="preserve">Общий объем расходов на финансовое обеспечение реализации муниципальной программы за 2025 год составил 74 513,8 тыс. руб. при плане 86 833,6 тыс. руб. или 85,8% к плановым назначениям, </w:t>
      </w:r>
      <w:r>
        <w:rPr>
          <w:sz w:val="25"/>
          <w:szCs w:val="25"/>
        </w:rPr>
        <w:t xml:space="preserve">в том числе расходы произведены за счет средств бюджетов: областного – 1 398,9 тыс. руб.; местного – 73 114,9 тыс. руб. </w:t>
      </w:r>
    </w:p>
    <w:p>
      <w:pPr>
        <w:pStyle w:val="Normal"/>
        <w:ind w:firstLine="709" w:right="0"/>
        <w:rPr>
          <w:sz w:val="25"/>
          <w:szCs w:val="25"/>
        </w:rPr>
      </w:pPr>
      <w:r>
        <w:rPr>
          <w:sz w:val="25"/>
          <w:szCs w:val="25"/>
        </w:rPr>
      </w:r>
    </w:p>
    <w:p>
      <w:pPr>
        <w:pStyle w:val="Normal"/>
        <w:ind w:hanging="142" w:right="176"/>
        <w:jc w:val="center"/>
        <w:rPr>
          <w:b/>
          <w:sz w:val="25"/>
          <w:szCs w:val="25"/>
        </w:rPr>
      </w:pPr>
      <w:r>
        <w:rPr>
          <w:b/>
          <w:sz w:val="25"/>
          <w:szCs w:val="25"/>
        </w:rPr>
        <w:t xml:space="preserve">Информация о реализации мероприятий муниципальной программы «Развитие  культуры в Тулунском районе» на 2021-2027 годы </w:t>
      </w:r>
    </w:p>
    <w:p>
      <w:pPr>
        <w:pStyle w:val="Normal"/>
        <w:ind w:hanging="142" w:right="176"/>
        <w:jc w:val="right"/>
        <w:rPr>
          <w:sz w:val="25"/>
          <w:szCs w:val="25"/>
        </w:rPr>
      </w:pPr>
      <w:r>
        <w:rPr>
          <w:sz w:val="25"/>
          <w:szCs w:val="25"/>
        </w:rPr>
        <w:t>(тыс. руб.)</w:t>
      </w:r>
    </w:p>
    <w:tbl>
      <w:tblPr>
        <w:tblW w:w="9696"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3632"/>
        <w:gridCol w:w="1586"/>
        <w:gridCol w:w="1191"/>
        <w:gridCol w:w="1243"/>
        <w:gridCol w:w="1026"/>
        <w:gridCol w:w="1017"/>
      </w:tblGrid>
      <w:tr>
        <w:trPr>
          <w:tblHeader w:val="true"/>
          <w:trHeight w:val="23" w:hRule="atLeast"/>
        </w:trPr>
        <w:tc>
          <w:tcPr>
            <w:tcW w:w="3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t>Наименование муниципальной программы</w:t>
            </w:r>
          </w:p>
        </w:tc>
        <w:tc>
          <w:tcPr>
            <w:tcW w:w="1586"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КЦСР</w:t>
            </w:r>
          </w:p>
        </w:tc>
        <w:tc>
          <w:tcPr>
            <w:tcW w:w="1191"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План</w:t>
            </w:r>
          </w:p>
        </w:tc>
        <w:tc>
          <w:tcPr>
            <w:tcW w:w="1243"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Исполнение</w:t>
            </w:r>
          </w:p>
        </w:tc>
        <w:tc>
          <w:tcPr>
            <w:tcW w:w="1026"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Отклонение</w:t>
            </w:r>
          </w:p>
        </w:tc>
        <w:tc>
          <w:tcPr>
            <w:tcW w:w="1017"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 исполнения</w:t>
            </w:r>
          </w:p>
        </w:tc>
      </w:tr>
      <w:tr>
        <w:trPr>
          <w:tblHeader w:val="true"/>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w:t>
            </w:r>
          </w:p>
        </w:tc>
        <w:tc>
          <w:tcPr>
            <w:tcW w:w="158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2</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3</w:t>
            </w:r>
          </w:p>
        </w:tc>
        <w:tc>
          <w:tcPr>
            <w:tcW w:w="124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4</w:t>
            </w:r>
          </w:p>
        </w:tc>
        <w:tc>
          <w:tcPr>
            <w:tcW w:w="102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5</w:t>
            </w:r>
          </w:p>
        </w:tc>
        <w:tc>
          <w:tcPr>
            <w:tcW w:w="101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6</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Муниципальная программа "Развитие культуры в Тулунском районе" на 2021 - 2026 годы</w:t>
            </w:r>
          </w:p>
        </w:tc>
        <w:tc>
          <w:tcPr>
            <w:tcW w:w="1586"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05.0.00.00000</w:t>
            </w:r>
          </w:p>
        </w:tc>
        <w:tc>
          <w:tcPr>
            <w:tcW w:w="1191"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174 709,2</w:t>
            </w:r>
          </w:p>
        </w:tc>
        <w:tc>
          <w:tcPr>
            <w:tcW w:w="1243"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173 888,7</w:t>
            </w:r>
          </w:p>
        </w:tc>
        <w:tc>
          <w:tcPr>
            <w:tcW w:w="1026"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-820,5</w:t>
            </w:r>
          </w:p>
        </w:tc>
        <w:tc>
          <w:tcPr>
            <w:tcW w:w="1017"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99.5</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ind w:hanging="0" w:right="176"/>
              <w:rPr>
                <w:sz w:val="20"/>
                <w:szCs w:val="20"/>
              </w:rPr>
            </w:pPr>
            <w:r>
              <w:rPr>
                <w:sz w:val="20"/>
                <w:szCs w:val="20"/>
              </w:rPr>
              <w:t>Подпрограмма "Организация досуга жителей Тулунского района, поддержка и развитие жанров традиционного народного творчества" на 2021-2027 годы</w:t>
            </w:r>
          </w:p>
        </w:tc>
        <w:tc>
          <w:tcPr>
            <w:tcW w:w="158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05.1.00.00000</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27 792,1</w:t>
            </w:r>
          </w:p>
        </w:tc>
        <w:tc>
          <w:tcPr>
            <w:tcW w:w="124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27 352,1</w:t>
            </w:r>
          </w:p>
        </w:tc>
        <w:tc>
          <w:tcPr>
            <w:tcW w:w="102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-440,0</w:t>
            </w:r>
          </w:p>
        </w:tc>
        <w:tc>
          <w:tcPr>
            <w:tcW w:w="101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98.4</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ind w:hanging="0" w:right="176"/>
              <w:rPr>
                <w:sz w:val="20"/>
                <w:szCs w:val="20"/>
              </w:rPr>
            </w:pPr>
            <w:r>
              <w:rPr>
                <w:sz w:val="20"/>
                <w:szCs w:val="20"/>
              </w:rPr>
              <w:t>Подпрограмма "Совершенствование системы библиотечного и информационно-методического обслуживания в Тулунском районе" на 2021 - 2027 годы</w:t>
            </w:r>
          </w:p>
        </w:tc>
        <w:tc>
          <w:tcPr>
            <w:tcW w:w="158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05.2.00.00000</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22 550,9</w:t>
            </w:r>
          </w:p>
        </w:tc>
        <w:tc>
          <w:tcPr>
            <w:tcW w:w="124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22 370,9</w:t>
            </w:r>
          </w:p>
        </w:tc>
        <w:tc>
          <w:tcPr>
            <w:tcW w:w="102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-180,0</w:t>
            </w:r>
          </w:p>
        </w:tc>
        <w:tc>
          <w:tcPr>
            <w:tcW w:w="101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99.2</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ind w:hanging="0" w:right="176"/>
              <w:rPr>
                <w:sz w:val="20"/>
                <w:szCs w:val="20"/>
              </w:rPr>
            </w:pPr>
            <w:r>
              <w:rPr>
                <w:sz w:val="20"/>
                <w:szCs w:val="20"/>
              </w:rPr>
              <w:t>Подпрограмма "Развитие системы дополнительного образования в сфере культуры в Тулунском районе" на 2021 - 2027 годы</w:t>
            </w:r>
          </w:p>
        </w:tc>
        <w:tc>
          <w:tcPr>
            <w:tcW w:w="158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05.3.00.00000</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10 055,9</w:t>
            </w:r>
          </w:p>
        </w:tc>
        <w:tc>
          <w:tcPr>
            <w:tcW w:w="124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10 012,8</w:t>
            </w:r>
          </w:p>
        </w:tc>
        <w:tc>
          <w:tcPr>
            <w:tcW w:w="102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-43,1</w:t>
            </w:r>
          </w:p>
        </w:tc>
        <w:tc>
          <w:tcPr>
            <w:tcW w:w="101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99.6</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ind w:hanging="0" w:right="176"/>
              <w:rPr>
                <w:sz w:val="20"/>
                <w:szCs w:val="20"/>
              </w:rPr>
            </w:pPr>
            <w:bookmarkStart w:id="11" w:name="_Hlk99030484"/>
            <w:bookmarkEnd w:id="11"/>
            <w:r>
              <w:rPr>
                <w:sz w:val="20"/>
                <w:szCs w:val="20"/>
              </w:rPr>
              <w:t>Подпрограмма "Поддержка и развитие традиционных народных промыслов и художественных ремесел в Тулунском муниципальном районе" на 2021-2027 годы</w:t>
            </w:r>
          </w:p>
        </w:tc>
        <w:tc>
          <w:tcPr>
            <w:tcW w:w="158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05.4.00.00000</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11 558,8</w:t>
            </w:r>
          </w:p>
        </w:tc>
        <w:tc>
          <w:tcPr>
            <w:tcW w:w="124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11 505,1</w:t>
            </w:r>
          </w:p>
        </w:tc>
        <w:tc>
          <w:tcPr>
            <w:tcW w:w="102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-53,7</w:t>
            </w:r>
          </w:p>
        </w:tc>
        <w:tc>
          <w:tcPr>
            <w:tcW w:w="1017" w:type="dxa"/>
            <w:tcBorders>
              <w:bottom w:val="single" w:sz="4" w:space="0" w:color="000000"/>
              <w:right w:val="single" w:sz="4" w:space="0" w:color="000000"/>
            </w:tcBorders>
            <w:vAlign w:val="center"/>
          </w:tcPr>
          <w:p>
            <w:pPr>
              <w:pStyle w:val="Normal"/>
              <w:widowControl w:val="false"/>
              <w:suppressAutoHyphens w:val="true"/>
              <w:bidi w:val="0"/>
              <w:spacing w:before="0" w:after="0"/>
              <w:ind w:hanging="227" w:left="0" w:right="170"/>
              <w:jc w:val="center"/>
              <w:rPr>
                <w:color w:val="000000"/>
                <w:sz w:val="20"/>
                <w:szCs w:val="20"/>
              </w:rPr>
            </w:pPr>
            <w:r>
              <w:rPr>
                <w:color w:val="000000"/>
                <w:sz w:val="20"/>
                <w:szCs w:val="20"/>
              </w:rPr>
              <w:t>99.5</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ind w:hanging="0" w:right="176"/>
              <w:rPr>
                <w:sz w:val="20"/>
                <w:szCs w:val="20"/>
              </w:rPr>
            </w:pPr>
            <w:r>
              <w:rPr>
                <w:sz w:val="20"/>
                <w:szCs w:val="20"/>
              </w:rPr>
              <w:t>Подпрограмма "Обеспечение хозяйственно-технического состояния муниципальных учреждений культуры, спорта, дополнительного образования, функционирующих на территории Тулунского района" на 2021 - 2027 годы.</w:t>
            </w:r>
          </w:p>
        </w:tc>
        <w:tc>
          <w:tcPr>
            <w:tcW w:w="158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05.5.00.00000</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89 186,9</w:t>
            </w:r>
          </w:p>
        </w:tc>
        <w:tc>
          <w:tcPr>
            <w:tcW w:w="124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89   186,9</w:t>
            </w:r>
          </w:p>
        </w:tc>
        <w:tc>
          <w:tcPr>
            <w:tcW w:w="102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0.00</w:t>
            </w:r>
          </w:p>
        </w:tc>
        <w:tc>
          <w:tcPr>
            <w:tcW w:w="101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100.0</w:t>
            </w:r>
          </w:p>
        </w:tc>
      </w:tr>
      <w:tr>
        <w:trPr>
          <w:trHeight w:val="23" w:hRule="atLeast"/>
        </w:trPr>
        <w:tc>
          <w:tcPr>
            <w:tcW w:w="3632" w:type="dxa"/>
            <w:tcBorders>
              <w:left w:val="single" w:sz="4" w:space="0" w:color="000000"/>
              <w:bottom w:val="single" w:sz="4" w:space="0" w:color="000000"/>
              <w:right w:val="single" w:sz="4" w:space="0" w:color="000000"/>
            </w:tcBorders>
            <w:vAlign w:val="center"/>
          </w:tcPr>
          <w:p>
            <w:pPr>
              <w:pStyle w:val="Normal"/>
              <w:widowControl w:val="false"/>
              <w:ind w:hanging="0" w:right="176"/>
              <w:rPr>
                <w:sz w:val="20"/>
                <w:szCs w:val="20"/>
              </w:rPr>
            </w:pPr>
            <w:r>
              <w:rPr>
                <w:sz w:val="20"/>
                <w:szCs w:val="20"/>
              </w:rPr>
              <w:t>Подпрограмма "Создание условий для эффективной деятельности учреждений культуры на территории Тулунского муниципального района" на 2021-2027 годы</w:t>
            </w:r>
          </w:p>
        </w:tc>
        <w:tc>
          <w:tcPr>
            <w:tcW w:w="1586" w:type="dxa"/>
            <w:tcBorders>
              <w:bottom w:val="single" w:sz="4" w:space="0" w:color="000000"/>
              <w:right w:val="single" w:sz="4" w:space="0" w:color="000000"/>
            </w:tcBorders>
            <w:vAlign w:val="center"/>
          </w:tcPr>
          <w:p>
            <w:pPr>
              <w:pStyle w:val="Normal"/>
              <w:widowControl w:val="false"/>
              <w:ind w:hanging="0" w:right="176"/>
              <w:jc w:val="center"/>
              <w:rPr>
                <w:sz w:val="20"/>
                <w:szCs w:val="20"/>
              </w:rPr>
            </w:pPr>
            <w:r>
              <w:rPr>
                <w:sz w:val="20"/>
                <w:szCs w:val="20"/>
              </w:rPr>
              <w:t>05.6.00.00000</w:t>
            </w:r>
          </w:p>
        </w:tc>
        <w:tc>
          <w:tcPr>
            <w:tcW w:w="119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13 564,4</w:t>
            </w:r>
          </w:p>
        </w:tc>
        <w:tc>
          <w:tcPr>
            <w:tcW w:w="124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13 460,7</w:t>
            </w:r>
          </w:p>
        </w:tc>
        <w:tc>
          <w:tcPr>
            <w:tcW w:w="1026"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-103,7</w:t>
            </w:r>
          </w:p>
        </w:tc>
        <w:tc>
          <w:tcPr>
            <w:tcW w:w="101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99.2</w:t>
            </w:r>
          </w:p>
        </w:tc>
      </w:tr>
    </w:tbl>
    <w:p>
      <w:pPr>
        <w:pStyle w:val="Normal"/>
        <w:rPr/>
      </w:pPr>
      <w:r>
        <w:rPr/>
      </w:r>
    </w:p>
    <w:p>
      <w:pPr>
        <w:pStyle w:val="ListParagraph"/>
        <w:tabs>
          <w:tab w:val="clear" w:pos="720"/>
          <w:tab w:val="left" w:pos="0" w:leader="none"/>
          <w:tab w:val="left" w:pos="851" w:leader="none"/>
          <w:tab w:val="left" w:pos="1134" w:leader="none"/>
        </w:tabs>
        <w:ind w:firstLine="709" w:left="0" w:right="0"/>
        <w:rPr/>
      </w:pPr>
      <w:r>
        <w:rPr>
          <w:sz w:val="25"/>
          <w:szCs w:val="25"/>
        </w:rPr>
        <w:t xml:space="preserve">Финансирование мероприятий муниципальной программы осуществлялось за счет федерального, областного и местного бюджетов. Общий объем расходов на финансовое обеспечение реализации муниципальной программы за 2025 год составил 173 888,7 тыс. руб. при плане 174 709,2 тыс. руб. или 99,5 % к плановым назначениям, в том числе расходы произведены за счет средств бюджетов: федерального – 118,8 тыс. руб.; областного – 1 146,3 тыс. руб.; местного – 172 623,6 тыс. руб. </w:t>
      </w:r>
    </w:p>
    <w:p>
      <w:pPr>
        <w:pStyle w:val="Normal"/>
        <w:ind w:hanging="142" w:right="176"/>
        <w:rPr>
          <w:sz w:val="25"/>
          <w:szCs w:val="25"/>
        </w:rPr>
      </w:pPr>
      <w:r>
        <w:rPr>
          <w:sz w:val="25"/>
          <w:szCs w:val="25"/>
        </w:rPr>
        <w:t xml:space="preserve">    </w:t>
      </w:r>
    </w:p>
    <w:p>
      <w:pPr>
        <w:pStyle w:val="Normal"/>
        <w:ind w:hanging="142" w:right="176"/>
        <w:jc w:val="center"/>
        <w:rPr>
          <w:b/>
          <w:sz w:val="25"/>
          <w:szCs w:val="25"/>
        </w:rPr>
      </w:pPr>
      <w:r>
        <w:rPr>
          <w:b/>
          <w:sz w:val="25"/>
          <w:szCs w:val="25"/>
        </w:rPr>
        <w:t xml:space="preserve">Информация о реализации мероприятий муниципальной программы </w:t>
      </w:r>
    </w:p>
    <w:p>
      <w:pPr>
        <w:pStyle w:val="Normal"/>
        <w:ind w:hanging="142" w:right="176"/>
        <w:jc w:val="center"/>
        <w:rPr>
          <w:b/>
          <w:sz w:val="25"/>
          <w:szCs w:val="25"/>
        </w:rPr>
      </w:pPr>
      <w:r>
        <w:rPr>
          <w:b/>
          <w:sz w:val="25"/>
          <w:szCs w:val="25"/>
        </w:rPr>
        <w:t xml:space="preserve">«Развитие физической культуры и спорта, молодежной политики, формирование здорового и безопасного образа жизни на территории Тулунского муниципального района» на 2024-2027 годы </w:t>
      </w:r>
    </w:p>
    <w:p>
      <w:pPr>
        <w:pStyle w:val="Normal"/>
        <w:ind w:hanging="142" w:right="176"/>
        <w:jc w:val="right"/>
        <w:rPr>
          <w:sz w:val="25"/>
          <w:szCs w:val="25"/>
        </w:rPr>
      </w:pPr>
      <w:r>
        <w:rPr>
          <w:sz w:val="25"/>
          <w:szCs w:val="25"/>
        </w:rPr>
        <w:t>(тыс. руб.)</w:t>
      </w:r>
    </w:p>
    <w:tbl>
      <w:tblPr>
        <w:tblW w:w="9804" w:type="dxa"/>
        <w:jc w:val="left"/>
        <w:tblInd w:w="-17" w:type="dxa"/>
        <w:tblLayout w:type="fixed"/>
        <w:tblCellMar>
          <w:top w:w="0" w:type="dxa"/>
          <w:left w:w="108" w:type="dxa"/>
          <w:bottom w:w="0" w:type="dxa"/>
          <w:right w:w="108" w:type="dxa"/>
        </w:tblCellMar>
        <w:tblLook w:firstRow="1" w:noVBand="1" w:lastRow="0" w:firstColumn="1" w:lastColumn="0" w:noHBand="0" w:val="04a0"/>
      </w:tblPr>
      <w:tblGrid>
        <w:gridCol w:w="4184"/>
        <w:gridCol w:w="1425"/>
        <w:gridCol w:w="1143"/>
        <w:gridCol w:w="1197"/>
        <w:gridCol w:w="954"/>
        <w:gridCol w:w="900"/>
      </w:tblGrid>
      <w:tr>
        <w:trPr>
          <w:tblHeader w:val="true"/>
          <w:trHeight w:val="23" w:hRule="atLeast"/>
        </w:trPr>
        <w:tc>
          <w:tcPr>
            <w:tcW w:w="41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Наименование муниципальной программы</w:t>
            </w:r>
          </w:p>
        </w:tc>
        <w:tc>
          <w:tcPr>
            <w:tcW w:w="1425"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КЦСР</w:t>
            </w:r>
          </w:p>
        </w:tc>
        <w:tc>
          <w:tcPr>
            <w:tcW w:w="1143"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План</w:t>
            </w:r>
          </w:p>
        </w:tc>
        <w:tc>
          <w:tcPr>
            <w:tcW w:w="1197"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Исполнение</w:t>
            </w:r>
          </w:p>
        </w:tc>
        <w:tc>
          <w:tcPr>
            <w:tcW w:w="954"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Отклонение</w:t>
            </w:r>
          </w:p>
        </w:tc>
        <w:tc>
          <w:tcPr>
            <w:tcW w:w="900"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 исполнения</w:t>
            </w:r>
          </w:p>
        </w:tc>
      </w:tr>
      <w:tr>
        <w:trPr>
          <w:tblHeader w:val="true"/>
          <w:trHeight w:val="23" w:hRule="atLeast"/>
        </w:trPr>
        <w:tc>
          <w:tcPr>
            <w:tcW w:w="4184" w:type="dxa"/>
            <w:tcBorders>
              <w:left w:val="single" w:sz="4" w:space="0" w:color="000000"/>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w:t>
            </w:r>
          </w:p>
        </w:tc>
        <w:tc>
          <w:tcPr>
            <w:tcW w:w="1425"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2</w:t>
            </w:r>
          </w:p>
        </w:tc>
        <w:tc>
          <w:tcPr>
            <w:tcW w:w="1143"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3</w:t>
            </w:r>
          </w:p>
        </w:tc>
        <w:tc>
          <w:tcPr>
            <w:tcW w:w="1197"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4</w:t>
            </w:r>
          </w:p>
        </w:tc>
        <w:tc>
          <w:tcPr>
            <w:tcW w:w="954"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5</w:t>
            </w:r>
          </w:p>
        </w:tc>
        <w:tc>
          <w:tcPr>
            <w:tcW w:w="900"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6</w:t>
            </w:r>
          </w:p>
        </w:tc>
      </w:tr>
      <w:tr>
        <w:trPr>
          <w:trHeight w:val="23" w:hRule="atLeast"/>
        </w:trPr>
        <w:tc>
          <w:tcPr>
            <w:tcW w:w="4184" w:type="dxa"/>
            <w:tcBorders>
              <w:left w:val="single" w:sz="4" w:space="0" w:color="000000"/>
              <w:bottom w:val="single" w:sz="4" w:space="0" w:color="000000"/>
              <w:right w:val="single" w:sz="4" w:space="0" w:color="000000"/>
            </w:tcBorders>
            <w:vAlign w:val="center"/>
          </w:tcPr>
          <w:p>
            <w:pPr>
              <w:pStyle w:val="Normal"/>
              <w:widowControl w:val="false"/>
              <w:ind w:hanging="0" w:right="176"/>
              <w:rPr>
                <w:b/>
                <w:bCs/>
                <w:sz w:val="20"/>
                <w:szCs w:val="20"/>
              </w:rPr>
            </w:pPr>
            <w:r>
              <w:rPr>
                <w:b/>
                <w:bCs/>
                <w:sz w:val="20"/>
                <w:szCs w:val="20"/>
              </w:rPr>
              <w:t>Муниципальная программа "Развитие физической культуры и спорта, молодежной политики, формирование здорового и безопасного образа жизни на территории Тулунского муниципального района" на 2024-20267годы</w:t>
            </w:r>
          </w:p>
        </w:tc>
        <w:tc>
          <w:tcPr>
            <w:tcW w:w="1425" w:type="dxa"/>
            <w:tcBorders>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0600000000</w:t>
            </w:r>
          </w:p>
        </w:tc>
        <w:tc>
          <w:tcPr>
            <w:tcW w:w="1143"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13 210,7</w:t>
            </w:r>
          </w:p>
        </w:tc>
        <w:tc>
          <w:tcPr>
            <w:tcW w:w="1197"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13 022,9</w:t>
            </w:r>
          </w:p>
        </w:tc>
        <w:tc>
          <w:tcPr>
            <w:tcW w:w="954"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-187,8</w:t>
            </w:r>
          </w:p>
        </w:tc>
        <w:tc>
          <w:tcPr>
            <w:tcW w:w="900"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98,6</w:t>
            </w:r>
          </w:p>
        </w:tc>
      </w:tr>
      <w:tr>
        <w:trPr>
          <w:trHeight w:val="23" w:hRule="atLeast"/>
        </w:trPr>
        <w:tc>
          <w:tcPr>
            <w:tcW w:w="4184" w:type="dxa"/>
            <w:tcBorders>
              <w:left w:val="single" w:sz="4" w:space="0" w:color="000000"/>
              <w:bottom w:val="single" w:sz="4" w:space="0" w:color="000000"/>
              <w:right w:val="single" w:sz="4" w:space="0" w:color="000000"/>
            </w:tcBorders>
            <w:vAlign w:val="center"/>
          </w:tcPr>
          <w:p>
            <w:pPr>
              <w:pStyle w:val="Normal"/>
              <w:widowControl w:val="false"/>
              <w:ind w:hanging="0" w:right="176"/>
              <w:rPr>
                <w:sz w:val="20"/>
                <w:szCs w:val="20"/>
              </w:rPr>
            </w:pPr>
            <w:r>
              <w:rPr>
                <w:sz w:val="20"/>
                <w:szCs w:val="20"/>
              </w:rPr>
              <w:t>Подпрограмма "Физическая культура и спорт Тулунского района" на 2024 - 2027 годы</w:t>
            </w:r>
          </w:p>
        </w:tc>
        <w:tc>
          <w:tcPr>
            <w:tcW w:w="1425" w:type="dxa"/>
            <w:tcBorders>
              <w:bottom w:val="single" w:sz="4" w:space="0" w:color="000000"/>
              <w:right w:val="single" w:sz="4" w:space="0" w:color="000000"/>
            </w:tcBorders>
            <w:vAlign w:val="center"/>
          </w:tcPr>
          <w:p>
            <w:pPr>
              <w:pStyle w:val="Normal"/>
              <w:widowControl w:val="false"/>
              <w:ind w:hanging="0" w:right="176"/>
              <w:jc w:val="center"/>
              <w:rPr>
                <w:sz w:val="20"/>
                <w:szCs w:val="20"/>
              </w:rPr>
            </w:pPr>
            <w:r>
              <w:rPr>
                <w:sz w:val="20"/>
                <w:szCs w:val="20"/>
              </w:rPr>
              <w:t>0610000000</w:t>
            </w:r>
          </w:p>
        </w:tc>
        <w:tc>
          <w:tcPr>
            <w:tcW w:w="114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682,6</w:t>
            </w:r>
          </w:p>
        </w:tc>
        <w:tc>
          <w:tcPr>
            <w:tcW w:w="119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682,6</w:t>
            </w:r>
          </w:p>
        </w:tc>
        <w:tc>
          <w:tcPr>
            <w:tcW w:w="95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0,00</w:t>
            </w:r>
          </w:p>
        </w:tc>
        <w:tc>
          <w:tcPr>
            <w:tcW w:w="900"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100,0</w:t>
            </w:r>
          </w:p>
        </w:tc>
      </w:tr>
      <w:tr>
        <w:trPr>
          <w:trHeight w:val="23" w:hRule="atLeast"/>
        </w:trPr>
        <w:tc>
          <w:tcPr>
            <w:tcW w:w="4184" w:type="dxa"/>
            <w:tcBorders>
              <w:left w:val="single" w:sz="4" w:space="0" w:color="000000"/>
              <w:bottom w:val="single" w:sz="4" w:space="0" w:color="000000"/>
              <w:right w:val="single" w:sz="4" w:space="0" w:color="000000"/>
            </w:tcBorders>
            <w:vAlign w:val="center"/>
          </w:tcPr>
          <w:p>
            <w:pPr>
              <w:pStyle w:val="Normal"/>
              <w:widowControl w:val="false"/>
              <w:ind w:hanging="0" w:right="176"/>
              <w:rPr>
                <w:sz w:val="20"/>
                <w:szCs w:val="20"/>
              </w:rPr>
            </w:pPr>
            <w:r>
              <w:rPr>
                <w:sz w:val="20"/>
                <w:szCs w:val="20"/>
              </w:rPr>
              <w:t>Подпрограмма "Молодежь Тулунского района" на 2024 - 2027 годы</w:t>
            </w:r>
          </w:p>
        </w:tc>
        <w:tc>
          <w:tcPr>
            <w:tcW w:w="1425" w:type="dxa"/>
            <w:tcBorders>
              <w:bottom w:val="single" w:sz="4" w:space="0" w:color="000000"/>
              <w:right w:val="single" w:sz="4" w:space="0" w:color="000000"/>
            </w:tcBorders>
            <w:vAlign w:val="center"/>
          </w:tcPr>
          <w:p>
            <w:pPr>
              <w:pStyle w:val="Normal"/>
              <w:widowControl w:val="false"/>
              <w:ind w:hanging="0" w:right="176"/>
              <w:jc w:val="center"/>
              <w:rPr>
                <w:sz w:val="20"/>
                <w:szCs w:val="20"/>
              </w:rPr>
            </w:pPr>
            <w:r>
              <w:rPr>
                <w:sz w:val="20"/>
                <w:szCs w:val="20"/>
              </w:rPr>
              <w:t>0620000000</w:t>
            </w:r>
          </w:p>
        </w:tc>
        <w:tc>
          <w:tcPr>
            <w:tcW w:w="114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394,7</w:t>
            </w:r>
          </w:p>
        </w:tc>
        <w:tc>
          <w:tcPr>
            <w:tcW w:w="119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394,7</w:t>
            </w:r>
          </w:p>
        </w:tc>
        <w:tc>
          <w:tcPr>
            <w:tcW w:w="95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0.00</w:t>
            </w:r>
          </w:p>
        </w:tc>
        <w:tc>
          <w:tcPr>
            <w:tcW w:w="900"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100.0</w:t>
            </w:r>
          </w:p>
        </w:tc>
      </w:tr>
      <w:tr>
        <w:trPr>
          <w:trHeight w:val="23" w:hRule="atLeast"/>
        </w:trPr>
        <w:tc>
          <w:tcPr>
            <w:tcW w:w="4184" w:type="dxa"/>
            <w:tcBorders>
              <w:left w:val="single" w:sz="4" w:space="0" w:color="000000"/>
              <w:bottom w:val="single" w:sz="4" w:space="0" w:color="000000"/>
              <w:right w:val="single" w:sz="4" w:space="0" w:color="000000"/>
            </w:tcBorders>
            <w:vAlign w:val="center"/>
          </w:tcPr>
          <w:p>
            <w:pPr>
              <w:pStyle w:val="Normal"/>
              <w:widowControl w:val="false"/>
              <w:ind w:hanging="0" w:right="176"/>
              <w:rPr>
                <w:sz w:val="20"/>
                <w:szCs w:val="20"/>
              </w:rPr>
            </w:pPr>
            <w:r>
              <w:rPr>
                <w:sz w:val="20"/>
                <w:szCs w:val="20"/>
              </w:rPr>
              <w:t>Подпрограмма "Профилактика злоупотребления наркотическими средствами и психотропными веществами среди детей и молодежи в Тулунском районе" на 2024-2027 годы</w:t>
            </w:r>
          </w:p>
        </w:tc>
        <w:tc>
          <w:tcPr>
            <w:tcW w:w="1425" w:type="dxa"/>
            <w:tcBorders>
              <w:bottom w:val="single" w:sz="4" w:space="0" w:color="000000"/>
              <w:right w:val="single" w:sz="4" w:space="0" w:color="000000"/>
            </w:tcBorders>
            <w:vAlign w:val="center"/>
          </w:tcPr>
          <w:p>
            <w:pPr>
              <w:pStyle w:val="Normal"/>
              <w:widowControl w:val="false"/>
              <w:ind w:hanging="0" w:right="176"/>
              <w:jc w:val="center"/>
              <w:rPr>
                <w:sz w:val="20"/>
                <w:szCs w:val="20"/>
              </w:rPr>
            </w:pPr>
            <w:r>
              <w:rPr>
                <w:sz w:val="20"/>
                <w:szCs w:val="20"/>
              </w:rPr>
              <w:t>0630000000</w:t>
            </w:r>
          </w:p>
        </w:tc>
        <w:tc>
          <w:tcPr>
            <w:tcW w:w="114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55.00</w:t>
            </w:r>
          </w:p>
        </w:tc>
        <w:tc>
          <w:tcPr>
            <w:tcW w:w="119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55.00</w:t>
            </w:r>
          </w:p>
        </w:tc>
        <w:tc>
          <w:tcPr>
            <w:tcW w:w="95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0.00</w:t>
            </w:r>
          </w:p>
        </w:tc>
        <w:tc>
          <w:tcPr>
            <w:tcW w:w="900"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100.0</w:t>
            </w:r>
          </w:p>
        </w:tc>
      </w:tr>
      <w:tr>
        <w:trPr>
          <w:trHeight w:val="23" w:hRule="atLeast"/>
        </w:trPr>
        <w:tc>
          <w:tcPr>
            <w:tcW w:w="4184" w:type="dxa"/>
            <w:tcBorders>
              <w:left w:val="single" w:sz="4" w:space="0" w:color="000000"/>
              <w:bottom w:val="single" w:sz="4" w:space="0" w:color="000000"/>
              <w:right w:val="single" w:sz="4" w:space="0" w:color="000000"/>
            </w:tcBorders>
            <w:vAlign w:val="center"/>
          </w:tcPr>
          <w:p>
            <w:pPr>
              <w:pStyle w:val="Normal"/>
              <w:widowControl w:val="false"/>
              <w:ind w:hanging="0" w:right="176"/>
              <w:rPr>
                <w:sz w:val="20"/>
                <w:szCs w:val="20"/>
              </w:rPr>
            </w:pPr>
            <w:r>
              <w:rPr>
                <w:sz w:val="20"/>
                <w:szCs w:val="20"/>
              </w:rPr>
              <w:t>Подпрограмма "Развитие муниципального казенного образовательного учреждения дополнительного образования "Спортивная школа" Тулунского муниципального района" на 2024-2027 годы</w:t>
            </w:r>
          </w:p>
        </w:tc>
        <w:tc>
          <w:tcPr>
            <w:tcW w:w="1425" w:type="dxa"/>
            <w:tcBorders>
              <w:bottom w:val="single" w:sz="4" w:space="0" w:color="000000"/>
              <w:right w:val="single" w:sz="4" w:space="0" w:color="000000"/>
            </w:tcBorders>
            <w:vAlign w:val="center"/>
          </w:tcPr>
          <w:p>
            <w:pPr>
              <w:pStyle w:val="Normal"/>
              <w:widowControl w:val="false"/>
              <w:ind w:hanging="0" w:right="176"/>
              <w:jc w:val="center"/>
              <w:rPr>
                <w:sz w:val="20"/>
                <w:szCs w:val="20"/>
              </w:rPr>
            </w:pPr>
            <w:r>
              <w:rPr>
                <w:sz w:val="20"/>
                <w:szCs w:val="20"/>
              </w:rPr>
              <w:t>0640000000</w:t>
            </w:r>
          </w:p>
        </w:tc>
        <w:tc>
          <w:tcPr>
            <w:tcW w:w="1143"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12 078,4</w:t>
            </w:r>
          </w:p>
        </w:tc>
        <w:tc>
          <w:tcPr>
            <w:tcW w:w="1197"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11 890,6</w:t>
            </w:r>
          </w:p>
        </w:tc>
        <w:tc>
          <w:tcPr>
            <w:tcW w:w="95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-187,8</w:t>
            </w:r>
          </w:p>
        </w:tc>
        <w:tc>
          <w:tcPr>
            <w:tcW w:w="900"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98,4</w:t>
            </w:r>
          </w:p>
        </w:tc>
      </w:tr>
    </w:tbl>
    <w:p>
      <w:pPr>
        <w:pStyle w:val="Normal"/>
        <w:rPr/>
      </w:pPr>
      <w:r>
        <w:rPr/>
      </w:r>
    </w:p>
    <w:p>
      <w:pPr>
        <w:pStyle w:val="ListParagraph"/>
        <w:tabs>
          <w:tab w:val="clear" w:pos="720"/>
          <w:tab w:val="left" w:pos="0" w:leader="none"/>
          <w:tab w:val="left" w:pos="851" w:leader="none"/>
        </w:tabs>
        <w:ind w:firstLine="709" w:left="0" w:right="0"/>
        <w:rPr/>
      </w:pPr>
      <w:r>
        <w:rPr>
          <w:sz w:val="25"/>
          <w:szCs w:val="25"/>
        </w:rPr>
        <w:t xml:space="preserve">Финансирование мероприятий муниципальной программы осуществлялось за счет областного и местного бюджетов. Общий объем расходов на финансовое обеспечение реализации муниципальной программы за 2025 год составил 13 022,9 тыс. руб. при плане 13 210,7тыс. руб. или 98,6% к плановому назначению, в том числе расходы произведены за счет средств бюджетов: областного – 273,4 тыс. руб.; местного – 12 749,5 тыс. руб. </w:t>
      </w:r>
    </w:p>
    <w:p>
      <w:pPr>
        <w:pStyle w:val="ListParagraph"/>
        <w:tabs>
          <w:tab w:val="clear" w:pos="720"/>
          <w:tab w:val="left" w:pos="0" w:leader="none"/>
          <w:tab w:val="left" w:pos="851" w:leader="none"/>
        </w:tabs>
        <w:ind w:firstLine="709" w:left="0" w:right="0"/>
        <w:rPr>
          <w:sz w:val="25"/>
          <w:szCs w:val="25"/>
        </w:rPr>
      </w:pPr>
      <w:r>
        <w:rPr>
          <w:sz w:val="25"/>
          <w:szCs w:val="25"/>
        </w:rPr>
      </w:r>
    </w:p>
    <w:p>
      <w:pPr>
        <w:pStyle w:val="Normal"/>
        <w:ind w:firstLine="720" w:right="176"/>
        <w:jc w:val="center"/>
        <w:rPr>
          <w:b/>
          <w:sz w:val="25"/>
          <w:szCs w:val="25"/>
        </w:rPr>
      </w:pPr>
      <w:r>
        <w:rPr>
          <w:b/>
          <w:sz w:val="25"/>
          <w:szCs w:val="25"/>
        </w:rPr>
        <w:t>Информация о реализации мероприятий муниципальной программы «Развитие образования на территории Тулунского муниципального района» на 2020-2027гг.</w:t>
      </w:r>
    </w:p>
    <w:p>
      <w:pPr>
        <w:pStyle w:val="Normal"/>
        <w:ind w:firstLine="720" w:right="176"/>
        <w:jc w:val="right"/>
        <w:rPr>
          <w:sz w:val="25"/>
          <w:szCs w:val="25"/>
        </w:rPr>
      </w:pPr>
      <w:r>
        <w:rPr>
          <w:sz w:val="25"/>
          <w:szCs w:val="25"/>
        </w:rPr>
        <w:t>(тыс. руб.)</w:t>
      </w:r>
    </w:p>
    <w:tbl>
      <w:tblPr>
        <w:tblW w:w="9643" w:type="dxa"/>
        <w:jc w:val="left"/>
        <w:tblInd w:w="40" w:type="dxa"/>
        <w:tblLayout w:type="fixed"/>
        <w:tblCellMar>
          <w:top w:w="0" w:type="dxa"/>
          <w:left w:w="108" w:type="dxa"/>
          <w:bottom w:w="0" w:type="dxa"/>
          <w:right w:w="108" w:type="dxa"/>
        </w:tblCellMar>
        <w:tblLook w:firstRow="1" w:noVBand="1" w:lastRow="0" w:firstColumn="1" w:lastColumn="0" w:noHBand="0" w:val="04a0"/>
      </w:tblPr>
      <w:tblGrid>
        <w:gridCol w:w="3391"/>
        <w:gridCol w:w="1656"/>
        <w:gridCol w:w="1414"/>
        <w:gridCol w:w="1188"/>
        <w:gridCol w:w="1082"/>
        <w:gridCol w:w="911"/>
      </w:tblGrid>
      <w:tr>
        <w:trPr>
          <w:tblHeader w:val="true"/>
          <w:trHeight w:val="827" w:hRule="atLeast"/>
        </w:trPr>
        <w:tc>
          <w:tcPr>
            <w:tcW w:w="3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Наименование муниципальной программы</w:t>
            </w:r>
          </w:p>
        </w:tc>
        <w:tc>
          <w:tcPr>
            <w:tcW w:w="1656"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КЦСР</w:t>
            </w:r>
          </w:p>
        </w:tc>
        <w:tc>
          <w:tcPr>
            <w:tcW w:w="1414"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План</w:t>
            </w:r>
          </w:p>
        </w:tc>
        <w:tc>
          <w:tcPr>
            <w:tcW w:w="1188"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Исполнение</w:t>
            </w:r>
          </w:p>
        </w:tc>
        <w:tc>
          <w:tcPr>
            <w:tcW w:w="1082"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Отклонение</w:t>
            </w:r>
          </w:p>
        </w:tc>
        <w:tc>
          <w:tcPr>
            <w:tcW w:w="911" w:type="dxa"/>
            <w:tcBorders>
              <w:top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w:t>
            </w:r>
          </w:p>
          <w:p>
            <w:pPr>
              <w:pStyle w:val="Normal"/>
              <w:widowControl w:val="false"/>
              <w:ind w:hanging="0" w:right="176"/>
              <w:jc w:val="center"/>
              <w:rPr>
                <w:b/>
                <w:bCs/>
                <w:sz w:val="20"/>
                <w:szCs w:val="20"/>
              </w:rPr>
            </w:pPr>
            <w:r>
              <w:rPr>
                <w:b/>
                <w:bCs/>
                <w:sz w:val="20"/>
                <w:szCs w:val="20"/>
              </w:rPr>
              <w:t>Исполнения</w:t>
            </w:r>
          </w:p>
        </w:tc>
      </w:tr>
      <w:tr>
        <w:trPr>
          <w:tblHeader w:val="true"/>
          <w:trHeight w:val="300" w:hRule="atLeast"/>
        </w:trPr>
        <w:tc>
          <w:tcPr>
            <w:tcW w:w="3391" w:type="dxa"/>
            <w:tcBorders>
              <w:left w:val="single" w:sz="4" w:space="0" w:color="000000"/>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1</w:t>
            </w:r>
          </w:p>
        </w:tc>
        <w:tc>
          <w:tcPr>
            <w:tcW w:w="1656" w:type="dxa"/>
            <w:tcBorders>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2</w:t>
            </w:r>
          </w:p>
        </w:tc>
        <w:tc>
          <w:tcPr>
            <w:tcW w:w="1414" w:type="dxa"/>
            <w:tcBorders>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3</w:t>
            </w:r>
          </w:p>
        </w:tc>
        <w:tc>
          <w:tcPr>
            <w:tcW w:w="1188" w:type="dxa"/>
            <w:tcBorders>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4</w:t>
            </w:r>
          </w:p>
        </w:tc>
        <w:tc>
          <w:tcPr>
            <w:tcW w:w="1082" w:type="dxa"/>
            <w:tcBorders>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5</w:t>
            </w:r>
          </w:p>
        </w:tc>
        <w:tc>
          <w:tcPr>
            <w:tcW w:w="911" w:type="dxa"/>
            <w:tcBorders>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6</w:t>
            </w:r>
          </w:p>
        </w:tc>
      </w:tr>
      <w:tr>
        <w:trPr>
          <w:trHeight w:val="260" w:hRule="atLeast"/>
        </w:trPr>
        <w:tc>
          <w:tcPr>
            <w:tcW w:w="3391" w:type="dxa"/>
            <w:tcBorders>
              <w:left w:val="single" w:sz="4" w:space="0" w:color="000000"/>
              <w:bottom w:val="single" w:sz="4" w:space="0" w:color="000000"/>
              <w:right w:val="single" w:sz="4" w:space="0" w:color="000000"/>
            </w:tcBorders>
            <w:vAlign w:val="center"/>
          </w:tcPr>
          <w:p>
            <w:pPr>
              <w:pStyle w:val="Normal"/>
              <w:widowControl w:val="false"/>
              <w:rPr>
                <w:b/>
                <w:bCs/>
                <w:sz w:val="20"/>
                <w:szCs w:val="20"/>
              </w:rPr>
            </w:pPr>
            <w:r>
              <w:rPr>
                <w:b/>
                <w:bCs/>
                <w:sz w:val="20"/>
                <w:szCs w:val="20"/>
              </w:rPr>
              <w:t>Муниципальная программа "Развитие образования на территории Тулунского муниципального района на 2020-2027гг."</w:t>
            </w:r>
          </w:p>
        </w:tc>
        <w:tc>
          <w:tcPr>
            <w:tcW w:w="1656" w:type="dxa"/>
            <w:tcBorders>
              <w:bottom w:val="single" w:sz="4" w:space="0" w:color="000000"/>
              <w:right w:val="single" w:sz="4" w:space="0" w:color="000000"/>
            </w:tcBorders>
            <w:vAlign w:val="center"/>
          </w:tcPr>
          <w:p>
            <w:pPr>
              <w:pStyle w:val="Normal"/>
              <w:widowControl w:val="false"/>
              <w:ind w:hanging="0" w:right="176"/>
              <w:jc w:val="center"/>
              <w:rPr>
                <w:b/>
                <w:bCs/>
                <w:sz w:val="20"/>
                <w:szCs w:val="20"/>
              </w:rPr>
            </w:pPr>
            <w:r>
              <w:rPr>
                <w:b/>
                <w:bCs/>
                <w:sz w:val="20"/>
                <w:szCs w:val="20"/>
              </w:rPr>
              <w:t>07.0.00.00000</w:t>
            </w:r>
          </w:p>
        </w:tc>
        <w:tc>
          <w:tcPr>
            <w:tcW w:w="1414"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1 461 991,2</w:t>
            </w:r>
          </w:p>
        </w:tc>
        <w:tc>
          <w:tcPr>
            <w:tcW w:w="1188"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1 450 930,2</w:t>
            </w:r>
          </w:p>
        </w:tc>
        <w:tc>
          <w:tcPr>
            <w:tcW w:w="1082"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-11 061,0</w:t>
            </w:r>
          </w:p>
        </w:tc>
        <w:tc>
          <w:tcPr>
            <w:tcW w:w="911" w:type="dxa"/>
            <w:tcBorders>
              <w:bottom w:val="single" w:sz="4" w:space="0" w:color="000000"/>
              <w:right w:val="single" w:sz="4" w:space="0" w:color="000000"/>
            </w:tcBorders>
            <w:vAlign w:val="center"/>
          </w:tcPr>
          <w:p>
            <w:pPr>
              <w:pStyle w:val="Normal"/>
              <w:widowControl w:val="false"/>
              <w:ind w:hanging="0" w:right="176"/>
              <w:jc w:val="center"/>
              <w:rPr>
                <w:b/>
                <w:bCs/>
                <w:color w:val="000000"/>
                <w:sz w:val="20"/>
                <w:szCs w:val="20"/>
              </w:rPr>
            </w:pPr>
            <w:r>
              <w:rPr>
                <w:b/>
                <w:bCs/>
                <w:color w:val="000000"/>
                <w:sz w:val="20"/>
                <w:szCs w:val="20"/>
              </w:rPr>
              <w:t>99.2</w:t>
            </w:r>
          </w:p>
        </w:tc>
      </w:tr>
      <w:tr>
        <w:trPr>
          <w:trHeight w:val="1530" w:hRule="atLeast"/>
        </w:trPr>
        <w:tc>
          <w:tcPr>
            <w:tcW w:w="3391" w:type="dxa"/>
            <w:tcBorders>
              <w:left w:val="single" w:sz="4" w:space="0" w:color="000000"/>
              <w:bottom w:val="single" w:sz="4" w:space="0" w:color="000000"/>
              <w:right w:val="single" w:sz="4" w:space="0" w:color="000000"/>
            </w:tcBorders>
            <w:vAlign w:val="center"/>
          </w:tcPr>
          <w:p>
            <w:pPr>
              <w:pStyle w:val="Normal"/>
              <w:widowControl w:val="false"/>
              <w:rPr>
                <w:sz w:val="20"/>
                <w:szCs w:val="20"/>
              </w:rPr>
            </w:pPr>
            <w:r>
              <w:rPr>
                <w:sz w:val="20"/>
                <w:szCs w:val="20"/>
              </w:rPr>
              <w:t>Подпрограмма "Организация предоставления дошкольного, общего и дополнительного образования на территории Тулунского муниципального района на 2020-2027гг."</w:t>
            </w:r>
          </w:p>
        </w:tc>
        <w:tc>
          <w:tcPr>
            <w:tcW w:w="1656" w:type="dxa"/>
            <w:tcBorders>
              <w:bottom w:val="single" w:sz="4" w:space="0" w:color="000000"/>
              <w:right w:val="single" w:sz="4" w:space="0" w:color="000000"/>
            </w:tcBorders>
            <w:vAlign w:val="center"/>
          </w:tcPr>
          <w:p>
            <w:pPr>
              <w:pStyle w:val="Normal"/>
              <w:widowControl w:val="false"/>
              <w:ind w:hanging="0" w:right="176"/>
              <w:jc w:val="center"/>
              <w:rPr>
                <w:sz w:val="20"/>
                <w:szCs w:val="20"/>
              </w:rPr>
            </w:pPr>
            <w:r>
              <w:rPr>
                <w:sz w:val="20"/>
                <w:szCs w:val="20"/>
              </w:rPr>
              <w:t>07.1.00.00000</w:t>
            </w:r>
          </w:p>
        </w:tc>
        <w:tc>
          <w:tcPr>
            <w:tcW w:w="141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1 387 318,5</w:t>
            </w:r>
          </w:p>
        </w:tc>
        <w:tc>
          <w:tcPr>
            <w:tcW w:w="118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1 377 551,4</w:t>
            </w:r>
          </w:p>
        </w:tc>
        <w:tc>
          <w:tcPr>
            <w:tcW w:w="1082"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-9 767,1</w:t>
            </w:r>
          </w:p>
        </w:tc>
        <w:tc>
          <w:tcPr>
            <w:tcW w:w="91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99.3</w:t>
            </w:r>
          </w:p>
        </w:tc>
      </w:tr>
      <w:tr>
        <w:trPr>
          <w:trHeight w:val="1020" w:hRule="atLeast"/>
        </w:trPr>
        <w:tc>
          <w:tcPr>
            <w:tcW w:w="3391" w:type="dxa"/>
            <w:tcBorders>
              <w:left w:val="single" w:sz="4" w:space="0" w:color="000000"/>
              <w:bottom w:val="single" w:sz="4" w:space="0" w:color="000000"/>
              <w:right w:val="single" w:sz="4" w:space="0" w:color="000000"/>
            </w:tcBorders>
            <w:vAlign w:val="center"/>
          </w:tcPr>
          <w:p>
            <w:pPr>
              <w:pStyle w:val="Normal"/>
              <w:widowControl w:val="false"/>
              <w:rPr>
                <w:sz w:val="20"/>
                <w:szCs w:val="20"/>
              </w:rPr>
            </w:pPr>
            <w:r>
              <w:rPr>
                <w:sz w:val="20"/>
                <w:szCs w:val="20"/>
              </w:rPr>
              <w:t>Подпрограмма "Развитие дошкольного, общего и дополнительного образования на территории Тулунского муниципального района на 2020-2027гг."</w:t>
            </w:r>
          </w:p>
        </w:tc>
        <w:tc>
          <w:tcPr>
            <w:tcW w:w="1656" w:type="dxa"/>
            <w:tcBorders>
              <w:bottom w:val="single" w:sz="4" w:space="0" w:color="000000"/>
              <w:right w:val="single" w:sz="4" w:space="0" w:color="000000"/>
            </w:tcBorders>
            <w:vAlign w:val="center"/>
          </w:tcPr>
          <w:p>
            <w:pPr>
              <w:pStyle w:val="Normal"/>
              <w:widowControl w:val="false"/>
              <w:ind w:hanging="0" w:right="176"/>
              <w:jc w:val="center"/>
              <w:rPr>
                <w:sz w:val="20"/>
                <w:szCs w:val="20"/>
              </w:rPr>
            </w:pPr>
            <w:r>
              <w:rPr>
                <w:sz w:val="20"/>
                <w:szCs w:val="20"/>
              </w:rPr>
              <w:t>07.2.00.00000</w:t>
            </w:r>
          </w:p>
        </w:tc>
        <w:tc>
          <w:tcPr>
            <w:tcW w:w="141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74 137,0</w:t>
            </w:r>
          </w:p>
        </w:tc>
        <w:tc>
          <w:tcPr>
            <w:tcW w:w="118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72 843,1</w:t>
            </w:r>
          </w:p>
        </w:tc>
        <w:tc>
          <w:tcPr>
            <w:tcW w:w="1082"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-1 293,9</w:t>
            </w:r>
          </w:p>
        </w:tc>
        <w:tc>
          <w:tcPr>
            <w:tcW w:w="91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98,3</w:t>
            </w:r>
          </w:p>
        </w:tc>
      </w:tr>
      <w:tr>
        <w:trPr>
          <w:trHeight w:val="1275" w:hRule="atLeast"/>
        </w:trPr>
        <w:tc>
          <w:tcPr>
            <w:tcW w:w="3391" w:type="dxa"/>
            <w:tcBorders>
              <w:left w:val="single" w:sz="4" w:space="0" w:color="000000"/>
              <w:bottom w:val="single" w:sz="4" w:space="0" w:color="000000"/>
              <w:right w:val="single" w:sz="4" w:space="0" w:color="000000"/>
            </w:tcBorders>
            <w:vAlign w:val="center"/>
          </w:tcPr>
          <w:p>
            <w:pPr>
              <w:pStyle w:val="Normal"/>
              <w:widowControl w:val="false"/>
              <w:rPr>
                <w:sz w:val="20"/>
                <w:szCs w:val="20"/>
              </w:rPr>
            </w:pPr>
            <w:r>
              <w:rPr>
                <w:sz w:val="20"/>
                <w:szCs w:val="20"/>
              </w:rPr>
              <w:t>Подпрограмма "Профилактика социально-негативных явлений среди несовершеннолетних на территории Тулунского муниципального района на 2020-2027гг."</w:t>
            </w:r>
          </w:p>
        </w:tc>
        <w:tc>
          <w:tcPr>
            <w:tcW w:w="1656" w:type="dxa"/>
            <w:tcBorders>
              <w:bottom w:val="single" w:sz="4" w:space="0" w:color="000000"/>
              <w:right w:val="single" w:sz="4" w:space="0" w:color="000000"/>
            </w:tcBorders>
            <w:vAlign w:val="center"/>
          </w:tcPr>
          <w:p>
            <w:pPr>
              <w:pStyle w:val="Normal"/>
              <w:widowControl w:val="false"/>
              <w:ind w:hanging="0" w:right="176"/>
              <w:jc w:val="center"/>
              <w:rPr>
                <w:sz w:val="20"/>
                <w:szCs w:val="20"/>
              </w:rPr>
            </w:pPr>
            <w:r>
              <w:rPr>
                <w:sz w:val="20"/>
                <w:szCs w:val="20"/>
              </w:rPr>
              <w:t>07.3.00.00000</w:t>
            </w:r>
          </w:p>
        </w:tc>
        <w:tc>
          <w:tcPr>
            <w:tcW w:w="1414"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535,7</w:t>
            </w:r>
          </w:p>
        </w:tc>
        <w:tc>
          <w:tcPr>
            <w:tcW w:w="1188"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535,7</w:t>
            </w:r>
          </w:p>
        </w:tc>
        <w:tc>
          <w:tcPr>
            <w:tcW w:w="1082"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0.0</w:t>
            </w:r>
          </w:p>
        </w:tc>
        <w:tc>
          <w:tcPr>
            <w:tcW w:w="911" w:type="dxa"/>
            <w:tcBorders>
              <w:bottom w:val="single" w:sz="4" w:space="0" w:color="000000"/>
              <w:right w:val="single" w:sz="4" w:space="0" w:color="000000"/>
            </w:tcBorders>
            <w:vAlign w:val="center"/>
          </w:tcPr>
          <w:p>
            <w:pPr>
              <w:pStyle w:val="Normal"/>
              <w:widowControl w:val="false"/>
              <w:ind w:hanging="0" w:right="176"/>
              <w:jc w:val="center"/>
              <w:rPr>
                <w:color w:val="000000"/>
                <w:sz w:val="20"/>
                <w:szCs w:val="20"/>
              </w:rPr>
            </w:pPr>
            <w:r>
              <w:rPr>
                <w:color w:val="000000"/>
                <w:sz w:val="20"/>
                <w:szCs w:val="20"/>
              </w:rPr>
              <w:t>100.0</w:t>
            </w:r>
          </w:p>
        </w:tc>
      </w:tr>
    </w:tbl>
    <w:p>
      <w:pPr>
        <w:pStyle w:val="Normal"/>
        <w:rPr/>
      </w:pPr>
      <w:r>
        <w:rPr/>
      </w:r>
    </w:p>
    <w:p>
      <w:pPr>
        <w:pStyle w:val="ListParagraph"/>
        <w:tabs>
          <w:tab w:val="clear" w:pos="720"/>
          <w:tab w:val="left" w:pos="851" w:leader="none"/>
          <w:tab w:val="left" w:pos="1134" w:leader="none"/>
        </w:tabs>
        <w:ind w:firstLine="709" w:left="0" w:right="0"/>
        <w:rPr/>
      </w:pPr>
      <w:r>
        <w:rPr>
          <w:sz w:val="25"/>
          <w:szCs w:val="25"/>
        </w:rPr>
        <w:t xml:space="preserve">Финансирование мероприятий муниципальной программы осуществлялось </w:t>
      </w:r>
      <w:r>
        <w:rPr>
          <w:bCs/>
          <w:sz w:val="25"/>
          <w:szCs w:val="25"/>
        </w:rPr>
        <w:t>за счет федерального, областного, местного бюджетов и инициативных платежей.</w:t>
      </w:r>
      <w:r>
        <w:rPr>
          <w:sz w:val="25"/>
          <w:szCs w:val="25"/>
        </w:rPr>
        <w:t xml:space="preserve"> Общий объем расходов на финансовое обеспечение реализации муниципальной программы за 2025 год составил 1</w:t>
      </w:r>
      <w:r>
        <w:rPr>
          <w:sz w:val="25"/>
          <w:szCs w:val="25"/>
          <w:lang w:val="en-US"/>
        </w:rPr>
        <w:t> </w:t>
      </w:r>
      <w:r>
        <w:rPr>
          <w:sz w:val="25"/>
          <w:szCs w:val="25"/>
        </w:rPr>
        <w:t>450 930,2 тыс. руб. при плане  1</w:t>
      </w:r>
      <w:r>
        <w:rPr>
          <w:sz w:val="25"/>
          <w:szCs w:val="25"/>
          <w:lang w:val="en-US"/>
        </w:rPr>
        <w:t> </w:t>
      </w:r>
      <w:r>
        <w:rPr>
          <w:sz w:val="25"/>
          <w:szCs w:val="25"/>
        </w:rPr>
        <w:t>461 991,2 тыс. руб. 99,2% к плановым назначениям,</w:t>
      </w:r>
      <w:r>
        <w:rPr>
          <w:bCs/>
          <w:sz w:val="25"/>
          <w:szCs w:val="25"/>
        </w:rPr>
        <w:t xml:space="preserve"> в том числе расходы произведены за счет средств бюджетов: федерального – 125 518,5тыс. руб.; областного – 1</w:t>
      </w:r>
      <w:r>
        <w:rPr>
          <w:bCs/>
          <w:sz w:val="25"/>
          <w:szCs w:val="25"/>
          <w:lang w:val="en-US"/>
        </w:rPr>
        <w:t> </w:t>
      </w:r>
      <w:r>
        <w:rPr>
          <w:bCs/>
          <w:sz w:val="25"/>
          <w:szCs w:val="25"/>
        </w:rPr>
        <w:t xml:space="preserve">113 523,5 тыс. руб.; местного – 211 888,2 тыс. руб., в том числе за счет средств инициативных платежей в сумме 369,1 тыс. руб. </w:t>
      </w:r>
    </w:p>
    <w:p>
      <w:pPr>
        <w:pStyle w:val="Normal"/>
        <w:tabs>
          <w:tab w:val="clear" w:pos="720"/>
          <w:tab w:val="left" w:pos="1080" w:leader="none"/>
        </w:tabs>
        <w:ind w:firstLine="567" w:right="170"/>
        <w:rPr>
          <w:color w:val="34343C"/>
          <w:sz w:val="25"/>
          <w:szCs w:val="25"/>
        </w:rPr>
      </w:pPr>
      <w:r>
        <w:rPr>
          <w:color w:val="34343C"/>
          <w:sz w:val="25"/>
          <w:szCs w:val="25"/>
        </w:rPr>
        <w:t>При работе с муниципальными программами завершающим этапом является оценка эффективности муниципальных программ.</w:t>
      </w:r>
    </w:p>
    <w:p>
      <w:pPr>
        <w:pStyle w:val="Normal"/>
        <w:tabs>
          <w:tab w:val="clear" w:pos="720"/>
          <w:tab w:val="left" w:pos="1080" w:leader="none"/>
        </w:tabs>
        <w:ind w:firstLine="567" w:right="170"/>
        <w:rPr>
          <w:color w:val="34343C"/>
          <w:sz w:val="25"/>
          <w:szCs w:val="25"/>
        </w:rPr>
      </w:pPr>
      <w:r>
        <w:rPr>
          <w:color w:val="34343C"/>
          <w:sz w:val="25"/>
          <w:szCs w:val="25"/>
        </w:rPr>
        <w:t xml:space="preserve">Оценка проводилась </w:t>
      </w:r>
      <w:r>
        <w:rPr>
          <w:color w:val="34343C"/>
          <w:sz w:val="25"/>
          <w:szCs w:val="25"/>
          <w:shd w:fill="FFFFFF" w:val="clear"/>
        </w:rPr>
        <w:t xml:space="preserve"> Комитетом по  экономике и развитию предпринимательства администрации Тулунского муниципального района </w:t>
      </w:r>
      <w:r>
        <w:rPr>
          <w:color w:val="34343C"/>
          <w:sz w:val="25"/>
          <w:szCs w:val="25"/>
        </w:rPr>
        <w:t xml:space="preserve"> в соответствии с  Положением о порядке принятия решений о разработке муниципальных программ Тулунского муниципального района и их формирования и реализации, утвержденным постановлением администрации Тулунского  муниципального района от 05.10.2015г №130-пг с учетом изменений  ( далее- Порядок).</w:t>
      </w:r>
    </w:p>
    <w:p>
      <w:pPr>
        <w:pStyle w:val="Normal"/>
        <w:tabs>
          <w:tab w:val="clear" w:pos="720"/>
          <w:tab w:val="left" w:pos="1080" w:leader="none"/>
        </w:tabs>
        <w:ind w:hanging="0" w:right="176"/>
        <w:rPr/>
      </w:pPr>
      <w:r>
        <w:rPr>
          <w:color w:val="34343C"/>
          <w:sz w:val="25"/>
          <w:szCs w:val="25"/>
        </w:rPr>
        <w:t xml:space="preserve"> </w:t>
      </w:r>
      <w:r>
        <w:rPr>
          <w:color w:val="302709"/>
          <w:sz w:val="25"/>
          <w:szCs w:val="25"/>
        </w:rPr>
        <w:t xml:space="preserve">За 2025 год проведена работа по оценке эффективности по 6-ти из 7-ми муниципальным  программам. </w:t>
      </w:r>
    </w:p>
    <w:p>
      <w:pPr>
        <w:pStyle w:val="Normal"/>
        <w:tabs>
          <w:tab w:val="clear" w:pos="720"/>
          <w:tab w:val="left" w:pos="1080" w:leader="none"/>
        </w:tabs>
        <w:ind w:hanging="0" w:right="176"/>
        <w:rPr>
          <w:color w:val="302709"/>
        </w:rPr>
      </w:pPr>
      <w:r>
        <w:rPr>
          <w:color w:val="302709"/>
          <w:sz w:val="25"/>
          <w:szCs w:val="25"/>
        </w:rPr>
        <w:t xml:space="preserve">  </w:t>
      </w:r>
      <w:r>
        <w:rPr>
          <w:color w:val="302709"/>
          <w:sz w:val="25"/>
          <w:szCs w:val="25"/>
        </w:rPr>
        <w:t>В нарушении пункта 28  главы 4  Порядка Администрацией Тулунского муниципального района, ответственным  исполнителем  муниципальной программы "Обеспечение комплексных мер безопасности на территории Тулунского муниципального района" на 2020-2027 годы, не представлен отчет  за 2025год  об исполнении мероприятий муниципальной программы.</w:t>
      </w:r>
    </w:p>
    <w:p>
      <w:pPr>
        <w:pStyle w:val="Normal"/>
        <w:tabs>
          <w:tab w:val="clear" w:pos="720"/>
          <w:tab w:val="left" w:pos="1080" w:leader="none"/>
        </w:tabs>
        <w:ind w:hanging="0" w:right="176"/>
        <w:rPr/>
      </w:pPr>
      <w:r>
        <w:rPr>
          <w:color w:val="34343C"/>
          <w:sz w:val="25"/>
          <w:szCs w:val="25"/>
        </w:rPr>
        <w:t xml:space="preserve">   </w:t>
      </w:r>
      <w:r>
        <w:rPr>
          <w:color w:val="34343C"/>
          <w:sz w:val="25"/>
          <w:szCs w:val="25"/>
        </w:rPr>
        <w:t>Оценка эффективности реализации Программ проведена в соответствии с Методикой оценки эффективности реализации муниципальных программ, являющейся Приложением № 7 к Порядку. Методика оценки  эффективности реализации муниципальной программы учитывает необходимость проведения оценок:</w:t>
      </w:r>
    </w:p>
    <w:p>
      <w:pPr>
        <w:pStyle w:val="Normal"/>
        <w:tabs>
          <w:tab w:val="clear" w:pos="720"/>
          <w:tab w:val="left" w:pos="1080" w:leader="none"/>
        </w:tabs>
        <w:ind w:hanging="0" w:right="176"/>
        <w:rPr>
          <w:color w:val="34343C"/>
          <w:sz w:val="25"/>
          <w:szCs w:val="25"/>
        </w:rPr>
      </w:pPr>
      <w:r>
        <w:rPr>
          <w:color w:val="34343C"/>
          <w:sz w:val="25"/>
          <w:szCs w:val="25"/>
        </w:rPr>
        <w:t>1) степени достижения целей и решения задач муниципальной программы и составляющих ее подпрограмм.</w:t>
      </w:r>
    </w:p>
    <w:p>
      <w:pPr>
        <w:pStyle w:val="Normal"/>
        <w:ind w:hanging="0" w:right="0"/>
        <w:jc w:val="left"/>
        <w:rPr>
          <w:color w:val="34343C"/>
          <w:sz w:val="25"/>
          <w:szCs w:val="25"/>
        </w:rPr>
      </w:pPr>
      <w:r>
        <w:rPr>
          <w:color w:val="34343C"/>
          <w:sz w:val="25"/>
          <w:szCs w:val="25"/>
        </w:rPr>
        <w:t>2) степени соответствия запланированному уровню затрат и эффективности использования средств, направленных на реализацию муниципальной программы и</w:t>
      </w:r>
    </w:p>
    <w:p>
      <w:pPr>
        <w:pStyle w:val="Normal"/>
        <w:ind w:hanging="0" w:right="0"/>
        <w:jc w:val="left"/>
        <w:rPr>
          <w:color w:val="34343C"/>
          <w:sz w:val="25"/>
          <w:szCs w:val="25"/>
        </w:rPr>
      </w:pPr>
      <w:r>
        <w:rPr>
          <w:color w:val="34343C"/>
          <w:sz w:val="25"/>
          <w:szCs w:val="25"/>
        </w:rPr>
        <w:t>составляющих ее подпрограмм.</w:t>
      </w:r>
    </w:p>
    <w:p>
      <w:pPr>
        <w:pStyle w:val="Normal"/>
        <w:tabs>
          <w:tab w:val="clear" w:pos="720"/>
          <w:tab w:val="left" w:pos="1080" w:leader="none"/>
        </w:tabs>
        <w:ind w:hanging="0" w:right="176"/>
        <w:rPr/>
      </w:pPr>
      <w:r>
        <w:rPr>
          <w:color w:val="34343C"/>
          <w:sz w:val="25"/>
          <w:szCs w:val="25"/>
        </w:rPr>
        <w:t xml:space="preserve">  </w:t>
      </w:r>
      <w:r>
        <w:rPr>
          <w:color w:val="34343C"/>
          <w:sz w:val="25"/>
          <w:szCs w:val="25"/>
        </w:rPr>
        <w:t xml:space="preserve">Согласно полученному интегральному показателю, для каждой муниципальной программы определена качественная характеристика, которая является результативной оценкой. Качественная характеристика оценки эффективности реализации муниципальных программ включает в себя </w:t>
      </w:r>
      <w:r>
        <w:rPr>
          <w:color w:val="302709"/>
          <w:sz w:val="25"/>
          <w:szCs w:val="25"/>
        </w:rPr>
        <w:t>высокоэффективные, эффективные, уровень эффективности удовлетворительный и неэффективные муниципальные программы</w:t>
      </w:r>
      <w:r>
        <w:rPr>
          <w:sz w:val="25"/>
          <w:szCs w:val="25"/>
        </w:rPr>
        <w:t>.</w:t>
      </w:r>
    </w:p>
    <w:p>
      <w:pPr>
        <w:pStyle w:val="Normal"/>
        <w:tabs>
          <w:tab w:val="clear" w:pos="720"/>
          <w:tab w:val="left" w:pos="1080" w:leader="none"/>
        </w:tabs>
        <w:ind w:hanging="0" w:right="176"/>
        <w:rPr/>
      </w:pPr>
      <w:r>
        <w:rPr>
          <w:sz w:val="25"/>
          <w:szCs w:val="25"/>
        </w:rPr>
        <w:t xml:space="preserve"> </w:t>
      </w:r>
      <w:r>
        <w:rPr>
          <w:sz w:val="25"/>
          <w:szCs w:val="25"/>
        </w:rPr>
        <w:t xml:space="preserve">Исполнители муниципальных программ направили в </w:t>
      </w:r>
      <w:r>
        <w:rPr>
          <w:color w:val="34343C"/>
          <w:sz w:val="25"/>
          <w:szCs w:val="25"/>
          <w:shd w:fill="FFFFFF" w:val="clear"/>
        </w:rPr>
        <w:t xml:space="preserve">Комитет по  экономике и развитию предпринимательства администрации Тулунского муниципального района </w:t>
      </w:r>
      <w:r>
        <w:rPr>
          <w:sz w:val="25"/>
          <w:szCs w:val="25"/>
        </w:rPr>
        <w:t xml:space="preserve"> отчеты об их исполнении за 2025 год, на основании которых была рассчитана эффективность реализации программ. </w:t>
      </w:r>
    </w:p>
    <w:p>
      <w:pPr>
        <w:pStyle w:val="Normal"/>
        <w:tabs>
          <w:tab w:val="clear" w:pos="720"/>
          <w:tab w:val="left" w:pos="1080" w:leader="none"/>
        </w:tabs>
        <w:ind w:hanging="0" w:right="176"/>
        <w:rPr>
          <w:sz w:val="25"/>
          <w:szCs w:val="25"/>
        </w:rPr>
      </w:pPr>
      <w:r>
        <w:rPr>
          <w:sz w:val="25"/>
          <w:szCs w:val="25"/>
        </w:rPr>
        <w:t xml:space="preserve">  </w:t>
      </w:r>
      <w:r>
        <w:rPr>
          <w:sz w:val="25"/>
          <w:szCs w:val="25"/>
        </w:rPr>
        <w:t xml:space="preserve">В соответствии с утвержденной Методикой проведения оценки эффективности реализации муниципальных программ Тулунского муниципального района, </w:t>
      </w:r>
      <w:r>
        <w:rPr>
          <w:sz w:val="25"/>
          <w:szCs w:val="25"/>
          <w:u w:val="single"/>
        </w:rPr>
        <w:t>высокоэффективными</w:t>
      </w:r>
      <w:r>
        <w:rPr>
          <w:sz w:val="25"/>
          <w:szCs w:val="25"/>
        </w:rPr>
        <w:t xml:space="preserve"> признаны следующие программы:</w:t>
      </w:r>
    </w:p>
    <w:p>
      <w:pPr>
        <w:pStyle w:val="Normal"/>
        <w:tabs>
          <w:tab w:val="clear" w:pos="720"/>
          <w:tab w:val="left" w:pos="1080" w:leader="none"/>
        </w:tabs>
        <w:ind w:hanging="0" w:right="176"/>
        <w:rPr>
          <w:sz w:val="25"/>
          <w:szCs w:val="25"/>
        </w:rPr>
      </w:pPr>
      <w:r>
        <w:rPr>
          <w:sz w:val="25"/>
          <w:szCs w:val="25"/>
        </w:rPr>
        <w:t>1.Муниципальная программа "Развитие культуры в Тулунском районе" на 2021 - 2026 годы;</w:t>
      </w:r>
    </w:p>
    <w:p>
      <w:pPr>
        <w:pStyle w:val="Normal"/>
        <w:tabs>
          <w:tab w:val="clear" w:pos="720"/>
          <w:tab w:val="left" w:pos="1080" w:leader="none"/>
        </w:tabs>
        <w:ind w:hanging="0" w:right="176"/>
        <w:rPr>
          <w:sz w:val="25"/>
          <w:szCs w:val="25"/>
        </w:rPr>
      </w:pPr>
      <w:r>
        <w:rPr>
          <w:sz w:val="25"/>
          <w:szCs w:val="25"/>
        </w:rPr>
        <w:t>2.Муниципальная программа "Развитие физической культуры и спорта, молодежной политики, формирование здорового и безопасного образа жизни на территории Тулунского муниципального района" на 2024-2026 годы;</w:t>
      </w:r>
    </w:p>
    <w:p>
      <w:pPr>
        <w:pStyle w:val="Normal"/>
        <w:tabs>
          <w:tab w:val="clear" w:pos="720"/>
          <w:tab w:val="left" w:pos="1080" w:leader="none"/>
        </w:tabs>
        <w:ind w:hanging="0" w:right="176"/>
        <w:rPr>
          <w:sz w:val="25"/>
          <w:szCs w:val="25"/>
        </w:rPr>
      </w:pPr>
      <w:r>
        <w:rPr>
          <w:sz w:val="25"/>
          <w:szCs w:val="25"/>
        </w:rPr>
        <w:t>3.Муниципальная программа "Развитие образования на территории Тулунского муниципального района на 2020-2027гг.</w:t>
      </w:r>
    </w:p>
    <w:p>
      <w:pPr>
        <w:pStyle w:val="Normal"/>
        <w:tabs>
          <w:tab w:val="clear" w:pos="720"/>
          <w:tab w:val="left" w:pos="1080" w:leader="none"/>
        </w:tabs>
        <w:ind w:hanging="0" w:right="176"/>
        <w:rPr/>
      </w:pPr>
      <w:r>
        <w:rPr>
          <w:sz w:val="25"/>
          <w:szCs w:val="25"/>
          <w:u w:val="single"/>
        </w:rPr>
        <w:t xml:space="preserve">эффективными признаны программы: </w:t>
      </w:r>
    </w:p>
    <w:p>
      <w:pPr>
        <w:pStyle w:val="Normal"/>
        <w:tabs>
          <w:tab w:val="clear" w:pos="720"/>
          <w:tab w:val="left" w:pos="1080" w:leader="none"/>
        </w:tabs>
        <w:ind w:hanging="0" w:right="176"/>
        <w:rPr>
          <w:sz w:val="25"/>
          <w:szCs w:val="25"/>
        </w:rPr>
      </w:pPr>
      <w:r>
        <w:rPr>
          <w:sz w:val="25"/>
          <w:szCs w:val="25"/>
        </w:rPr>
        <w:t>1.</w:t>
      </w:r>
      <w:r>
        <w:rPr>
          <w:color w:val="34343C"/>
          <w:sz w:val="25"/>
          <w:szCs w:val="25"/>
        </w:rPr>
        <w:t xml:space="preserve"> Муниципальная программа "Управление финансами Тулунского муниципального района" на 2020-2026 годы.</w:t>
      </w:r>
    </w:p>
    <w:p>
      <w:pPr>
        <w:pStyle w:val="Normal"/>
        <w:tabs>
          <w:tab w:val="clear" w:pos="720"/>
          <w:tab w:val="left" w:pos="1080" w:leader="none"/>
        </w:tabs>
        <w:ind w:hanging="0" w:right="176"/>
        <w:rPr>
          <w:u w:val="single"/>
        </w:rPr>
      </w:pPr>
      <w:r>
        <w:rPr>
          <w:color w:val="34343C"/>
          <w:sz w:val="25"/>
          <w:szCs w:val="25"/>
          <w:u w:val="single"/>
        </w:rPr>
        <w:t xml:space="preserve">программами  с удовлетворительным </w:t>
      </w:r>
      <w:r>
        <w:rPr>
          <w:color w:val="302709"/>
          <w:sz w:val="25"/>
          <w:szCs w:val="25"/>
          <w:u w:val="single"/>
        </w:rPr>
        <w:t>уровнем  эффективности  признаны:</w:t>
      </w:r>
    </w:p>
    <w:p>
      <w:pPr>
        <w:pStyle w:val="Normal"/>
        <w:tabs>
          <w:tab w:val="clear" w:pos="720"/>
          <w:tab w:val="left" w:pos="1080" w:leader="none"/>
        </w:tabs>
        <w:ind w:hanging="0" w:right="176"/>
        <w:rPr>
          <w:sz w:val="25"/>
          <w:szCs w:val="25"/>
        </w:rPr>
      </w:pPr>
      <w:r>
        <w:rPr>
          <w:color w:val="302709"/>
          <w:sz w:val="25"/>
          <w:szCs w:val="25"/>
        </w:rPr>
        <w:t>1.Муниципальная программа "Экономическое развитие Тулунского муниципального района" на 2021-2026 годы;</w:t>
      </w:r>
    </w:p>
    <w:p>
      <w:pPr>
        <w:pStyle w:val="Normal"/>
        <w:tabs>
          <w:tab w:val="clear" w:pos="720"/>
          <w:tab w:val="left" w:pos="1080" w:leader="none"/>
        </w:tabs>
        <w:ind w:hanging="0" w:right="176"/>
        <w:rPr>
          <w:color w:val="302709"/>
          <w:sz w:val="25"/>
          <w:szCs w:val="25"/>
        </w:rPr>
      </w:pPr>
      <w:r>
        <w:rPr>
          <w:color w:val="302709"/>
          <w:sz w:val="25"/>
          <w:szCs w:val="25"/>
        </w:rPr>
        <w:t>2.Муниципальная программа "Развитие инфраструктуры на территории Тулунского муниципального района" на 2021-2026 гг</w:t>
      </w:r>
    </w:p>
    <w:p>
      <w:pPr>
        <w:pStyle w:val="Normal"/>
        <w:tabs>
          <w:tab w:val="clear" w:pos="720"/>
          <w:tab w:val="left" w:pos="1080" w:leader="none"/>
        </w:tabs>
        <w:ind w:firstLine="283" w:right="170"/>
        <w:rPr/>
      </w:pPr>
      <w:r>
        <w:rPr>
          <w:color w:val="34343C"/>
          <w:sz w:val="25"/>
          <w:szCs w:val="25"/>
        </w:rPr>
        <w:t>При проведении оценки эффективности реализации муниципальных программ Тулунского муниципального района  за 2025 год неэффективных программ признано не было.</w:t>
      </w:r>
    </w:p>
    <w:p>
      <w:pPr>
        <w:pStyle w:val="Normal"/>
        <w:tabs>
          <w:tab w:val="clear" w:pos="720"/>
          <w:tab w:val="left" w:pos="1080" w:leader="none"/>
        </w:tabs>
        <w:ind w:hanging="0" w:right="176"/>
        <w:rPr>
          <w:color w:val="34343C"/>
          <w:sz w:val="25"/>
          <w:szCs w:val="25"/>
        </w:rPr>
      </w:pPr>
      <w:r>
        <w:rPr>
          <w:color w:val="34343C"/>
          <w:sz w:val="25"/>
          <w:szCs w:val="25"/>
        </w:rPr>
        <w:t xml:space="preserve"> </w:t>
      </w:r>
      <w:r>
        <w:rPr>
          <w:color w:val="34343C"/>
          <w:sz w:val="25"/>
          <w:szCs w:val="25"/>
        </w:rPr>
        <w:t>Представленные  программы планируются к реализации в 2026 году и плановом периоде 2027-2028 годов.</w:t>
      </w:r>
    </w:p>
    <w:p>
      <w:pPr>
        <w:pStyle w:val="Normal"/>
        <w:ind w:hanging="0" w:left="850" w:right="170"/>
        <w:jc w:val="center"/>
        <w:rPr>
          <w:b/>
          <w:sz w:val="25"/>
          <w:szCs w:val="25"/>
        </w:rPr>
      </w:pPr>
      <w:r>
        <w:rPr>
          <w:b/>
          <w:sz w:val="25"/>
          <w:szCs w:val="25"/>
        </w:rPr>
        <w:t>Непрограммные направления деятельности</w:t>
      </w:r>
    </w:p>
    <w:p>
      <w:pPr>
        <w:pStyle w:val="Normal"/>
        <w:ind w:firstLine="709" w:right="176"/>
        <w:rPr>
          <w:sz w:val="25"/>
          <w:szCs w:val="25"/>
        </w:rPr>
      </w:pPr>
      <w:r>
        <w:rPr>
          <w:sz w:val="25"/>
          <w:szCs w:val="25"/>
        </w:rPr>
      </w:r>
    </w:p>
    <w:p>
      <w:pPr>
        <w:pStyle w:val="Normal"/>
        <w:ind w:firstLine="709" w:right="0"/>
        <w:rPr/>
      </w:pPr>
      <w:r>
        <w:rPr>
          <w:sz w:val="25"/>
          <w:szCs w:val="25"/>
        </w:rPr>
        <w:t xml:space="preserve">Общий объем расходов на финансовое обеспечение непрограммных направлений деятельности за 2025 год составил 8 356,1 тыс. руб. при плане 8 488 ,8 тыс. руб. или 98,4 % к плановым назначениям.  </w:t>
      </w:r>
    </w:p>
    <w:p>
      <w:pPr>
        <w:pStyle w:val="Normal"/>
        <w:ind w:firstLine="709" w:right="0"/>
        <w:rPr>
          <w:sz w:val="25"/>
          <w:szCs w:val="25"/>
        </w:rPr>
      </w:pPr>
      <w:r>
        <w:rPr>
          <w:sz w:val="25"/>
          <w:szCs w:val="25"/>
        </w:rPr>
        <w:t>Исполнение непрограммных расходов направлено на обеспечение деятельности органов местного самоуправления, из них на содержание:</w:t>
      </w:r>
    </w:p>
    <w:p>
      <w:pPr>
        <w:pStyle w:val="Normal"/>
        <w:tabs>
          <w:tab w:val="clear" w:pos="720"/>
          <w:tab w:val="left" w:pos="0" w:leader="none"/>
          <w:tab w:val="left" w:pos="1134" w:leader="none"/>
        </w:tabs>
        <w:ind w:hanging="0" w:right="0"/>
        <w:rPr>
          <w:sz w:val="25"/>
          <w:szCs w:val="25"/>
        </w:rPr>
      </w:pPr>
      <w:r>
        <w:rPr>
          <w:sz w:val="25"/>
          <w:szCs w:val="25"/>
        </w:rPr>
        <w:t xml:space="preserve">- Думы Тулунского муниципального района в сумме 2 077,6 тыс. руб., или 94,7 % к плановым назначениям; </w:t>
      </w:r>
    </w:p>
    <w:p>
      <w:pPr>
        <w:pStyle w:val="Normal"/>
        <w:tabs>
          <w:tab w:val="clear" w:pos="720"/>
          <w:tab w:val="left" w:pos="1134" w:leader="none"/>
        </w:tabs>
        <w:ind w:hanging="0" w:right="0"/>
        <w:rPr/>
      </w:pPr>
      <w:r>
        <w:rPr>
          <w:sz w:val="25"/>
          <w:szCs w:val="25"/>
        </w:rPr>
        <w:t xml:space="preserve">- Контрольно-счетной палаты муниципального образования «Тулунский район» в сумме </w:t>
      </w:r>
      <w:r>
        <w:rPr>
          <w:color w:val="000000"/>
          <w:sz w:val="25"/>
          <w:szCs w:val="25"/>
        </w:rPr>
        <w:t>5 443,8 тыс. руб., или 99,9 % к плановым назначениям.</w:t>
      </w:r>
    </w:p>
    <w:p>
      <w:pPr>
        <w:pStyle w:val="Normal"/>
        <w:tabs>
          <w:tab w:val="clear" w:pos="720"/>
          <w:tab w:val="left" w:pos="284" w:leader="none"/>
        </w:tabs>
        <w:ind w:hanging="0" w:right="176"/>
        <w:rPr/>
      </w:pPr>
      <w:r>
        <w:rPr>
          <w:sz w:val="25"/>
          <w:szCs w:val="25"/>
        </w:rPr>
        <w:t>-</w:t>
      </w:r>
      <w:r>
        <w:rPr/>
        <w:t xml:space="preserve"> расходы, осуществляемые за счет межбюджетных трансфертов бюджетам муниципальных районов на исполнение передаваемых полномочий сельских поселений в сумме 137 ,1 тыс.руб. или 91,3% к плановым назначениям. Не использованы средства межбюджетных трансфертов в сумме 13,8 тыс. руб. в связи с оплатой за фактически оказанные коммунальные услуги по представленным документам на оплату;</w:t>
      </w:r>
    </w:p>
    <w:p>
      <w:pPr>
        <w:pStyle w:val="Normal"/>
        <w:tabs>
          <w:tab w:val="clear" w:pos="720"/>
          <w:tab w:val="left" w:pos="284" w:leader="none"/>
        </w:tabs>
        <w:ind w:hanging="0" w:right="176"/>
        <w:rPr/>
      </w:pPr>
      <w:r>
        <w:rPr/>
        <w:t>-обеспечение проведения выборов в сумме 697,6 тыс.руб. или 100% к плановым назначениям.</w:t>
      </w:r>
    </w:p>
    <w:p>
      <w:pPr>
        <w:pStyle w:val="Normal"/>
        <w:tabs>
          <w:tab w:val="clear" w:pos="720"/>
          <w:tab w:val="left" w:pos="1134" w:leader="none"/>
        </w:tabs>
        <w:ind w:firstLine="567" w:right="27"/>
        <w:jc w:val="center"/>
        <w:rPr/>
      </w:pPr>
      <w:r>
        <w:rPr>
          <w:b/>
          <w:bCs/>
          <w:sz w:val="25"/>
          <w:szCs w:val="25"/>
        </w:rPr>
        <w:t>9. Анализ</w:t>
      </w:r>
      <w:r>
        <w:rPr>
          <w:b/>
          <w:sz w:val="25"/>
          <w:szCs w:val="25"/>
        </w:rPr>
        <w:t xml:space="preserve"> </w:t>
      </w:r>
      <w:r>
        <w:rPr>
          <w:b/>
          <w:bCs/>
          <w:sz w:val="25"/>
          <w:szCs w:val="25"/>
        </w:rPr>
        <w:t>реализации национальных</w:t>
      </w:r>
    </w:p>
    <w:p>
      <w:pPr>
        <w:pStyle w:val="Normal"/>
        <w:tabs>
          <w:tab w:val="clear" w:pos="720"/>
          <w:tab w:val="left" w:pos="1134" w:leader="none"/>
        </w:tabs>
        <w:ind w:firstLine="567" w:right="27"/>
        <w:jc w:val="center"/>
        <w:rPr/>
      </w:pPr>
      <w:r>
        <w:rPr>
          <w:b/>
          <w:bCs/>
          <w:sz w:val="25"/>
          <w:szCs w:val="25"/>
        </w:rPr>
        <w:t xml:space="preserve"> </w:t>
      </w:r>
      <w:r>
        <w:rPr>
          <w:b/>
          <w:bCs/>
          <w:sz w:val="25"/>
          <w:szCs w:val="25"/>
        </w:rPr>
        <w:t>(региональных) проектов.</w:t>
      </w:r>
    </w:p>
    <w:p>
      <w:pPr>
        <w:pStyle w:val="Normal"/>
        <w:tabs>
          <w:tab w:val="clear" w:pos="720"/>
          <w:tab w:val="left" w:pos="1134" w:leader="none"/>
        </w:tabs>
        <w:ind w:firstLine="567" w:right="27"/>
        <w:jc w:val="center"/>
        <w:rPr>
          <w:sz w:val="25"/>
          <w:szCs w:val="25"/>
        </w:rPr>
      </w:pPr>
      <w:r>
        <w:rPr>
          <w:sz w:val="25"/>
          <w:szCs w:val="25"/>
        </w:rPr>
      </w:r>
    </w:p>
    <w:p>
      <w:pPr>
        <w:pStyle w:val="Normal"/>
        <w:ind w:firstLine="709" w:right="0"/>
        <w:rPr/>
      </w:pPr>
      <w:r>
        <w:rPr>
          <w:sz w:val="25"/>
          <w:szCs w:val="25"/>
        </w:rPr>
        <w:t xml:space="preserve">В рамках достижения целевых показателей, установленных во исполнение Указа Президента Российской Федерации от 7 мая 2018 года № 204 «О национальных целях и стратегических задачах развития Российской Федерации на период до 2024 </w:t>
      </w:r>
      <w:r>
        <w:rPr>
          <w:sz w:val="25"/>
          <w:szCs w:val="25"/>
          <w:shd w:fill="auto" w:val="clear"/>
        </w:rPr>
        <w:t xml:space="preserve">года», </w:t>
      </w:r>
      <w:r>
        <w:rPr>
          <w:shd w:fill="auto" w:val="clear"/>
        </w:rPr>
        <w:t xml:space="preserve"> от 07.05.2024 № 309 «О национальных целях развития Российской Федерации на период до 2030 года и на перспективу до 2036 года»</w:t>
      </w:r>
      <w:r>
        <w:rPr>
          <w:sz w:val="25"/>
          <w:szCs w:val="25"/>
          <w:shd w:fill="auto" w:val="clear"/>
        </w:rPr>
        <w:t xml:space="preserve"> в бюджете </w:t>
      </w:r>
      <w:r>
        <w:rPr>
          <w:color w:val="000000"/>
          <w:sz w:val="25"/>
          <w:szCs w:val="25"/>
          <w:shd w:fill="auto" w:val="clear"/>
        </w:rPr>
        <w:t>Тулунского</w:t>
      </w:r>
      <w:r>
        <w:rPr>
          <w:rFonts w:eastAsia="Liberation Serif;Times New Roma"/>
          <w:color w:val="000000"/>
          <w:sz w:val="25"/>
          <w:szCs w:val="25"/>
          <w:shd w:fill="auto" w:val="clear"/>
        </w:rPr>
        <w:t xml:space="preserve"> </w:t>
      </w:r>
      <w:r>
        <w:rPr>
          <w:color w:val="000000"/>
          <w:sz w:val="25"/>
          <w:szCs w:val="25"/>
          <w:shd w:fill="auto" w:val="clear"/>
        </w:rPr>
        <w:t>муниципального</w:t>
      </w:r>
      <w:r>
        <w:rPr>
          <w:rFonts w:eastAsia="Liberation Serif;Times New Roma"/>
          <w:color w:val="000000"/>
          <w:sz w:val="25"/>
          <w:szCs w:val="25"/>
          <w:shd w:fill="auto" w:val="clear"/>
        </w:rPr>
        <w:t xml:space="preserve"> </w:t>
      </w:r>
      <w:r>
        <w:rPr>
          <w:color w:val="000000"/>
          <w:sz w:val="25"/>
          <w:szCs w:val="25"/>
          <w:shd w:fill="auto" w:val="clear"/>
        </w:rPr>
        <w:t>района</w:t>
      </w:r>
      <w:r>
        <w:rPr>
          <w:sz w:val="25"/>
          <w:szCs w:val="25"/>
        </w:rPr>
        <w:t xml:space="preserve"> на 2025 год, утвержденным решением Думы от 24.12.2024г. №121 (с изменениями), в сводной бюджетной росписи бюджета Тулунского района, утверждённой приказом Комитета по финансам администрации Тулунского муниципального района от 25.12.2025г. №181(о.д.) предусмотрены бюджетные ассигнования на реализацию двух национальных (региональных)  проектов в объеме 130 652,5тыс. рублей.</w:t>
      </w:r>
    </w:p>
    <w:p>
      <w:pPr>
        <w:pStyle w:val="Normal"/>
        <w:ind w:firstLine="709" w:right="0"/>
        <w:rPr/>
      </w:pPr>
      <w:r>
        <w:rPr/>
        <w:t>Объем средств, направленных в 2025 году на достижение целевых показателей и результатов, в соответствии с региональными проектами Иркутской области, составил 129 983,1 тыс. руб. или 99,5% к плановым назначениям.</w:t>
      </w:r>
    </w:p>
    <w:p>
      <w:pPr>
        <w:pStyle w:val="Normal"/>
        <w:ind w:firstLine="709" w:right="0"/>
        <w:rPr/>
      </w:pPr>
      <w:r>
        <w:rPr>
          <w:sz w:val="25"/>
          <w:szCs w:val="25"/>
        </w:rPr>
        <w:t xml:space="preserve">Информация об исполнении национальных (региональных) проектов приведена в таблице:                               </w:t>
      </w:r>
      <w:r>
        <w:rPr>
          <w:b/>
          <w:sz w:val="25"/>
          <w:szCs w:val="25"/>
        </w:rPr>
        <w:t xml:space="preserve">                                                                                                                         </w:t>
      </w:r>
    </w:p>
    <w:p>
      <w:pPr>
        <w:pStyle w:val="Normal"/>
        <w:jc w:val="center"/>
        <w:rPr>
          <w:b/>
        </w:rPr>
      </w:pPr>
      <w:r>
        <w:rPr>
          <w:b/>
        </w:rPr>
        <w:t>Информация об исполнении региональных проектов за 2025 год</w:t>
      </w:r>
    </w:p>
    <w:p>
      <w:pPr>
        <w:pStyle w:val="Normal"/>
        <w:ind w:firstLine="709" w:right="176"/>
        <w:rPr>
          <w:shd w:fill="FFFF00" w:val="clear"/>
        </w:rPr>
      </w:pPr>
      <w:r>
        <w:rPr>
          <w:shd w:fill="FFFF00" w:val="clear"/>
        </w:rPr>
        <w:t xml:space="preserve"> </w:t>
      </w:r>
    </w:p>
    <w:p>
      <w:pPr>
        <w:pStyle w:val="Normal"/>
        <w:ind w:firstLine="709" w:right="0"/>
        <w:jc w:val="right"/>
        <w:rPr>
          <w:sz w:val="25"/>
          <w:szCs w:val="25"/>
        </w:rPr>
      </w:pPr>
      <w:r>
        <w:rPr>
          <w:sz w:val="25"/>
          <w:szCs w:val="25"/>
        </w:rPr>
        <w:t>(тыс. руб.)</w:t>
      </w:r>
    </w:p>
    <w:tbl>
      <w:tblPr>
        <w:tblW w:w="9921" w:type="dxa"/>
        <w:jc w:val="left"/>
        <w:tblInd w:w="-185" w:type="dxa"/>
        <w:tblLayout w:type="fixed"/>
        <w:tblCellMar>
          <w:top w:w="0" w:type="dxa"/>
          <w:left w:w="108" w:type="dxa"/>
          <w:bottom w:w="0" w:type="dxa"/>
          <w:right w:w="108" w:type="dxa"/>
        </w:tblCellMar>
        <w:tblLook w:firstRow="1" w:noVBand="1" w:lastRow="0" w:firstColumn="1" w:lastColumn="0" w:noHBand="0" w:val="04a0"/>
      </w:tblPr>
      <w:tblGrid>
        <w:gridCol w:w="1361"/>
        <w:gridCol w:w="907"/>
        <w:gridCol w:w="850"/>
        <w:gridCol w:w="1018"/>
        <w:gridCol w:w="1027"/>
        <w:gridCol w:w="1073"/>
        <w:gridCol w:w="912"/>
        <w:gridCol w:w="963"/>
        <w:gridCol w:w="1020"/>
        <w:gridCol w:w="789"/>
      </w:tblGrid>
      <w:tr>
        <w:trPr>
          <w:tblHeader w:val="true"/>
          <w:trHeight w:val="567" w:hRule="atLeast"/>
        </w:trPr>
        <w:tc>
          <w:tcPr>
            <w:tcW w:w="13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18"/>
                <w:szCs w:val="18"/>
              </w:rPr>
            </w:pPr>
            <w:r>
              <w:rPr>
                <w:b/>
                <w:bCs/>
                <w:color w:val="000000"/>
                <w:sz w:val="18"/>
                <w:szCs w:val="18"/>
              </w:rPr>
            </w:r>
          </w:p>
        </w:tc>
        <w:tc>
          <w:tcPr>
            <w:tcW w:w="3802" w:type="dxa"/>
            <w:gridSpan w:val="4"/>
            <w:tcBorders>
              <w:top w:val="single" w:sz="4" w:space="0" w:color="000000"/>
              <w:bottom w:val="single" w:sz="4" w:space="0" w:color="000000"/>
              <w:right w:val="single" w:sz="4" w:space="0" w:color="000000"/>
            </w:tcBorders>
            <w:vAlign w:val="center"/>
          </w:tcPr>
          <w:p>
            <w:pPr>
              <w:pStyle w:val="Normal"/>
              <w:widowControl w:val="false"/>
              <w:jc w:val="center"/>
              <w:rPr>
                <w:b/>
                <w:bCs/>
                <w:color w:val="000000"/>
                <w:sz w:val="18"/>
                <w:szCs w:val="18"/>
              </w:rPr>
            </w:pPr>
            <w:r>
              <w:rPr>
                <w:b/>
                <w:bCs/>
                <w:color w:val="000000"/>
                <w:sz w:val="18"/>
                <w:szCs w:val="18"/>
              </w:rPr>
            </w:r>
          </w:p>
        </w:tc>
        <w:tc>
          <w:tcPr>
            <w:tcW w:w="3968" w:type="dxa"/>
            <w:gridSpan w:val="4"/>
            <w:tcBorders>
              <w:top w:val="single" w:sz="4" w:space="0" w:color="000000"/>
              <w:bottom w:val="single" w:sz="4" w:space="0" w:color="000000"/>
              <w:right w:val="single" w:sz="4" w:space="0" w:color="000000"/>
            </w:tcBorders>
            <w:vAlign w:val="center"/>
          </w:tcPr>
          <w:p>
            <w:pPr>
              <w:pStyle w:val="Normal"/>
              <w:widowControl w:val="false"/>
              <w:jc w:val="center"/>
              <w:rPr>
                <w:b/>
                <w:bCs/>
                <w:color w:val="000000"/>
                <w:sz w:val="18"/>
                <w:szCs w:val="18"/>
              </w:rPr>
            </w:pPr>
            <w:r>
              <w:rPr>
                <w:b/>
                <w:bCs/>
                <w:color w:val="000000"/>
                <w:sz w:val="18"/>
                <w:szCs w:val="18"/>
              </w:rPr>
            </w:r>
          </w:p>
        </w:tc>
        <w:tc>
          <w:tcPr>
            <w:tcW w:w="78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18"/>
                <w:szCs w:val="18"/>
              </w:rPr>
            </w:pPr>
            <w:r>
              <w:rPr>
                <w:b/>
                <w:bCs/>
                <w:color w:val="000000"/>
                <w:sz w:val="18"/>
                <w:szCs w:val="18"/>
              </w:rPr>
              <w:t>% исп.</w:t>
            </w:r>
          </w:p>
        </w:tc>
      </w:tr>
      <w:tr>
        <w:trPr>
          <w:trHeight w:val="567" w:hRule="atLeast"/>
        </w:trPr>
        <w:tc>
          <w:tcPr>
            <w:tcW w:w="13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07" w:type="dxa"/>
            <w:tcBorders>
              <w:bottom w:val="single" w:sz="4" w:space="0" w:color="000000"/>
              <w:right w:val="single" w:sz="4" w:space="0" w:color="000000"/>
            </w:tcBorders>
            <w:vAlign w:val="center"/>
          </w:tcPr>
          <w:p>
            <w:pPr>
              <w:pStyle w:val="Normal"/>
              <w:widowControl w:val="false"/>
              <w:ind w:hanging="0" w:right="170"/>
              <w:jc w:val="left"/>
              <w:rPr>
                <w:b/>
                <w:bCs/>
                <w:color w:val="000000"/>
                <w:sz w:val="18"/>
                <w:szCs w:val="18"/>
              </w:rPr>
            </w:pPr>
            <w:r>
              <w:rPr>
                <w:b/>
                <w:bCs/>
                <w:color w:val="000000"/>
                <w:sz w:val="18"/>
                <w:szCs w:val="18"/>
              </w:rPr>
              <w:t>Всего</w:t>
            </w:r>
          </w:p>
        </w:tc>
        <w:tc>
          <w:tcPr>
            <w:tcW w:w="850" w:type="dxa"/>
            <w:tcBorders>
              <w:bottom w:val="single" w:sz="4" w:space="0" w:color="000000"/>
              <w:right w:val="single" w:sz="4" w:space="0" w:color="000000"/>
            </w:tcBorders>
            <w:vAlign w:val="center"/>
          </w:tcPr>
          <w:p>
            <w:pPr>
              <w:pStyle w:val="Normal"/>
              <w:widowControl w:val="false"/>
              <w:ind w:hanging="0" w:right="170"/>
              <w:jc w:val="left"/>
              <w:rPr>
                <w:b/>
                <w:bCs/>
                <w:color w:val="000000"/>
                <w:sz w:val="18"/>
                <w:szCs w:val="18"/>
              </w:rPr>
            </w:pPr>
            <w:r>
              <w:rPr>
                <w:b/>
                <w:bCs/>
                <w:color w:val="000000"/>
                <w:sz w:val="18"/>
                <w:szCs w:val="18"/>
              </w:rPr>
              <w:t>МБ</w:t>
            </w:r>
          </w:p>
        </w:tc>
        <w:tc>
          <w:tcPr>
            <w:tcW w:w="1018" w:type="dxa"/>
            <w:tcBorders>
              <w:bottom w:val="single" w:sz="4" w:space="0" w:color="000000"/>
              <w:right w:val="single" w:sz="4" w:space="0" w:color="000000"/>
            </w:tcBorders>
            <w:vAlign w:val="center"/>
          </w:tcPr>
          <w:p>
            <w:pPr>
              <w:pStyle w:val="Normal"/>
              <w:widowControl w:val="false"/>
              <w:ind w:hanging="0" w:right="170"/>
              <w:jc w:val="left"/>
              <w:rPr>
                <w:b/>
                <w:bCs/>
                <w:color w:val="000000"/>
                <w:sz w:val="18"/>
                <w:szCs w:val="18"/>
              </w:rPr>
            </w:pPr>
            <w:r>
              <w:rPr>
                <w:b/>
                <w:bCs/>
                <w:color w:val="000000"/>
                <w:sz w:val="18"/>
                <w:szCs w:val="18"/>
              </w:rPr>
              <w:t>ОБ</w:t>
            </w:r>
          </w:p>
        </w:tc>
        <w:tc>
          <w:tcPr>
            <w:tcW w:w="1027" w:type="dxa"/>
            <w:tcBorders>
              <w:bottom w:val="single" w:sz="4" w:space="0" w:color="000000"/>
              <w:right w:val="single" w:sz="4" w:space="0" w:color="000000"/>
            </w:tcBorders>
            <w:vAlign w:val="center"/>
          </w:tcPr>
          <w:p>
            <w:pPr>
              <w:pStyle w:val="Normal"/>
              <w:widowControl w:val="false"/>
              <w:tabs>
                <w:tab w:val="clear" w:pos="720"/>
                <w:tab w:val="left" w:pos="0" w:leader="none"/>
              </w:tabs>
              <w:ind w:hanging="0" w:right="170"/>
              <w:jc w:val="left"/>
              <w:rPr>
                <w:b/>
                <w:bCs/>
                <w:color w:val="000000"/>
                <w:sz w:val="18"/>
                <w:szCs w:val="18"/>
              </w:rPr>
            </w:pPr>
            <w:r>
              <w:rPr>
                <w:b/>
                <w:bCs/>
                <w:color w:val="000000"/>
                <w:sz w:val="18"/>
                <w:szCs w:val="18"/>
              </w:rPr>
              <w:t>ФБ</w:t>
            </w:r>
          </w:p>
        </w:tc>
        <w:tc>
          <w:tcPr>
            <w:tcW w:w="1073" w:type="dxa"/>
            <w:tcBorders>
              <w:bottom w:val="single" w:sz="4" w:space="0" w:color="000000"/>
              <w:right w:val="single" w:sz="4" w:space="0" w:color="000000"/>
            </w:tcBorders>
            <w:vAlign w:val="center"/>
          </w:tcPr>
          <w:p>
            <w:pPr>
              <w:pStyle w:val="Normal"/>
              <w:widowControl w:val="false"/>
              <w:tabs>
                <w:tab w:val="clear" w:pos="720"/>
                <w:tab w:val="left" w:pos="0" w:leader="none"/>
                <w:tab w:val="left" w:pos="632" w:leader="none"/>
              </w:tabs>
              <w:ind w:hanging="0" w:right="850"/>
              <w:jc w:val="center"/>
              <w:rPr>
                <w:b/>
                <w:bCs/>
                <w:color w:val="000000"/>
                <w:sz w:val="18"/>
                <w:szCs w:val="18"/>
              </w:rPr>
            </w:pPr>
            <w:r>
              <w:rPr>
                <w:b/>
                <w:bCs/>
                <w:color w:val="000000"/>
                <w:sz w:val="18"/>
                <w:szCs w:val="18"/>
              </w:rPr>
            </w:r>
          </w:p>
          <w:p>
            <w:pPr>
              <w:pStyle w:val="Normal"/>
              <w:widowControl w:val="false"/>
              <w:tabs>
                <w:tab w:val="clear" w:pos="720"/>
                <w:tab w:val="left" w:pos="343" w:leader="none"/>
              </w:tabs>
              <w:ind w:hanging="0" w:right="170"/>
              <w:jc w:val="left"/>
              <w:rPr>
                <w:b/>
                <w:bCs/>
                <w:color w:val="000000"/>
                <w:sz w:val="18"/>
                <w:szCs w:val="18"/>
              </w:rPr>
            </w:pPr>
            <w:r>
              <w:rPr>
                <w:b/>
                <w:bCs/>
                <w:color w:val="000000"/>
                <w:sz w:val="18"/>
                <w:szCs w:val="18"/>
              </w:rPr>
              <w:t>Всего</w:t>
            </w:r>
          </w:p>
        </w:tc>
        <w:tc>
          <w:tcPr>
            <w:tcW w:w="912" w:type="dxa"/>
            <w:tcBorders>
              <w:bottom w:val="single" w:sz="4" w:space="0" w:color="000000"/>
              <w:right w:val="single" w:sz="4" w:space="0" w:color="000000"/>
            </w:tcBorders>
            <w:vAlign w:val="center"/>
          </w:tcPr>
          <w:p>
            <w:pPr>
              <w:pStyle w:val="Normal"/>
              <w:widowControl w:val="false"/>
              <w:ind w:hanging="0" w:right="170"/>
              <w:jc w:val="left"/>
              <w:rPr>
                <w:b/>
                <w:bCs/>
                <w:color w:val="000000"/>
                <w:sz w:val="18"/>
                <w:szCs w:val="18"/>
              </w:rPr>
            </w:pPr>
            <w:r>
              <w:rPr>
                <w:b/>
                <w:bCs/>
                <w:color w:val="000000"/>
                <w:sz w:val="18"/>
                <w:szCs w:val="18"/>
              </w:rPr>
              <w:t>МБ</w:t>
            </w:r>
          </w:p>
        </w:tc>
        <w:tc>
          <w:tcPr>
            <w:tcW w:w="963" w:type="dxa"/>
            <w:tcBorders>
              <w:bottom w:val="single" w:sz="4" w:space="0" w:color="000000"/>
              <w:right w:val="single" w:sz="4" w:space="0" w:color="000000"/>
            </w:tcBorders>
            <w:vAlign w:val="center"/>
          </w:tcPr>
          <w:p>
            <w:pPr>
              <w:pStyle w:val="Normal"/>
              <w:widowControl w:val="false"/>
              <w:ind w:firstLine="113" w:right="170"/>
              <w:jc w:val="left"/>
              <w:rPr>
                <w:b/>
                <w:bCs/>
                <w:color w:val="000000"/>
                <w:sz w:val="18"/>
                <w:szCs w:val="18"/>
              </w:rPr>
            </w:pPr>
            <w:r>
              <w:rPr>
                <w:b/>
                <w:bCs/>
                <w:color w:val="000000"/>
                <w:sz w:val="18"/>
                <w:szCs w:val="18"/>
              </w:rPr>
              <w:t>ОБ</w:t>
            </w:r>
          </w:p>
        </w:tc>
        <w:tc>
          <w:tcPr>
            <w:tcW w:w="1020" w:type="dxa"/>
            <w:tcBorders>
              <w:bottom w:val="single" w:sz="4" w:space="0" w:color="000000"/>
              <w:right w:val="single" w:sz="4" w:space="0" w:color="000000"/>
            </w:tcBorders>
            <w:vAlign w:val="center"/>
          </w:tcPr>
          <w:p>
            <w:pPr>
              <w:pStyle w:val="Normal"/>
              <w:widowControl w:val="false"/>
              <w:ind w:hanging="0" w:right="170"/>
              <w:jc w:val="left"/>
              <w:rPr>
                <w:b/>
                <w:bCs/>
                <w:color w:val="000000"/>
                <w:sz w:val="18"/>
                <w:szCs w:val="18"/>
              </w:rPr>
            </w:pPr>
            <w:r>
              <w:rPr>
                <w:b/>
                <w:bCs/>
                <w:color w:val="000000"/>
                <w:sz w:val="18"/>
                <w:szCs w:val="18"/>
              </w:rPr>
              <w:t>ФБ</w:t>
            </w:r>
          </w:p>
        </w:tc>
        <w:tc>
          <w:tcPr>
            <w:tcW w:w="78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rHeight w:val="567" w:hRule="atLeast"/>
        </w:trPr>
        <w:tc>
          <w:tcPr>
            <w:tcW w:w="1361" w:type="dxa"/>
            <w:tcBorders>
              <w:left w:val="single" w:sz="4" w:space="0" w:color="000000"/>
              <w:bottom w:val="single" w:sz="4" w:space="0" w:color="000000"/>
              <w:right w:val="single" w:sz="4" w:space="0" w:color="000000"/>
            </w:tcBorders>
            <w:vAlign w:val="center"/>
          </w:tcPr>
          <w:p>
            <w:pPr>
              <w:pStyle w:val="Normal"/>
              <w:widowControl w:val="false"/>
              <w:numPr>
                <w:ilvl w:val="0"/>
                <w:numId w:val="0"/>
              </w:numPr>
              <w:suppressAutoHyphens w:val="true"/>
              <w:bidi w:val="0"/>
              <w:spacing w:before="0" w:after="0"/>
              <w:ind w:firstLine="57" w:left="0" w:right="170"/>
              <w:jc w:val="both"/>
              <w:outlineLvl w:val="0"/>
              <w:rPr>
                <w:b/>
                <w:bCs/>
                <w:sz w:val="18"/>
                <w:szCs w:val="18"/>
              </w:rPr>
            </w:pPr>
            <w:r>
              <w:rPr>
                <w:b/>
                <w:bCs/>
                <w:sz w:val="18"/>
                <w:szCs w:val="18"/>
              </w:rPr>
              <w:t>Региональный проект "Педагоги и наставники"</w:t>
            </w:r>
          </w:p>
        </w:tc>
        <w:tc>
          <w:tcPr>
            <w:tcW w:w="907" w:type="dxa"/>
            <w:tcBorders>
              <w:bottom w:val="single" w:sz="4" w:space="0" w:color="000000"/>
              <w:right w:val="single" w:sz="4" w:space="0" w:color="000000"/>
            </w:tcBorders>
            <w:vAlign w:val="center"/>
          </w:tcPr>
          <w:p>
            <w:pPr>
              <w:pStyle w:val="Normal"/>
              <w:widowControl w:val="false"/>
              <w:numPr>
                <w:ilvl w:val="0"/>
                <w:numId w:val="0"/>
              </w:numPr>
              <w:ind w:hanging="0" w:left="0" w:right="-113"/>
              <w:jc w:val="left"/>
              <w:outlineLvl w:val="0"/>
              <w:rPr>
                <w:b/>
                <w:bCs/>
                <w:color w:val="000000"/>
                <w:sz w:val="18"/>
                <w:szCs w:val="18"/>
              </w:rPr>
            </w:pPr>
            <w:r>
              <w:rPr>
                <w:b/>
                <w:bCs/>
                <w:color w:val="000000"/>
                <w:sz w:val="18"/>
                <w:szCs w:val="18"/>
              </w:rPr>
              <w:t>73 419,6</w:t>
            </w:r>
          </w:p>
        </w:tc>
        <w:tc>
          <w:tcPr>
            <w:tcW w:w="850"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0"/>
              <w:rPr>
                <w:b/>
                <w:bCs/>
                <w:color w:val="000000"/>
                <w:sz w:val="18"/>
                <w:szCs w:val="18"/>
              </w:rPr>
            </w:pPr>
            <w:r>
              <w:rPr>
                <w:b/>
                <w:bCs/>
                <w:color w:val="000000"/>
                <w:sz w:val="18"/>
                <w:szCs w:val="18"/>
              </w:rPr>
              <w:t>0</w:t>
            </w:r>
          </w:p>
        </w:tc>
        <w:tc>
          <w:tcPr>
            <w:tcW w:w="1018" w:type="dxa"/>
            <w:tcBorders>
              <w:bottom w:val="single" w:sz="4" w:space="0" w:color="000000"/>
              <w:right w:val="single" w:sz="4" w:space="0" w:color="000000"/>
            </w:tcBorders>
            <w:vAlign w:val="center"/>
          </w:tcPr>
          <w:p>
            <w:pPr>
              <w:pStyle w:val="Normal"/>
              <w:widowControl w:val="false"/>
              <w:numPr>
                <w:ilvl w:val="0"/>
                <w:numId w:val="0"/>
              </w:numPr>
              <w:ind w:hanging="0" w:left="0" w:right="170"/>
              <w:outlineLvl w:val="0"/>
              <w:rPr>
                <w:b/>
                <w:bCs/>
                <w:color w:val="000000"/>
                <w:sz w:val="18"/>
                <w:szCs w:val="18"/>
              </w:rPr>
            </w:pPr>
            <w:r>
              <w:rPr>
                <w:b/>
                <w:bCs/>
                <w:color w:val="000000"/>
                <w:sz w:val="18"/>
                <w:szCs w:val="18"/>
              </w:rPr>
              <w:t>340,5</w:t>
            </w:r>
          </w:p>
        </w:tc>
        <w:tc>
          <w:tcPr>
            <w:tcW w:w="1027" w:type="dxa"/>
            <w:tcBorders>
              <w:bottom w:val="single" w:sz="4" w:space="0" w:color="000000"/>
              <w:right w:val="single" w:sz="4" w:space="0" w:color="000000"/>
            </w:tcBorders>
            <w:vAlign w:val="center"/>
          </w:tcPr>
          <w:p>
            <w:pPr>
              <w:pStyle w:val="Normal"/>
              <w:widowControl w:val="false"/>
              <w:numPr>
                <w:ilvl w:val="0"/>
                <w:numId w:val="0"/>
              </w:numPr>
              <w:suppressAutoHyphens w:val="true"/>
              <w:bidi w:val="0"/>
              <w:spacing w:before="0" w:after="0"/>
              <w:ind w:hanging="0" w:left="0" w:right="170"/>
              <w:jc w:val="both"/>
              <w:outlineLvl w:val="0"/>
              <w:rPr>
                <w:b/>
                <w:bCs/>
                <w:color w:val="000000"/>
                <w:sz w:val="18"/>
                <w:szCs w:val="18"/>
              </w:rPr>
            </w:pPr>
            <w:r>
              <w:rPr>
                <w:b/>
                <w:bCs/>
                <w:color w:val="000000"/>
                <w:sz w:val="18"/>
                <w:szCs w:val="18"/>
              </w:rPr>
              <w:t>73079,1</w:t>
            </w:r>
          </w:p>
        </w:tc>
        <w:tc>
          <w:tcPr>
            <w:tcW w:w="1073" w:type="dxa"/>
            <w:tcBorders>
              <w:bottom w:val="single" w:sz="4" w:space="0" w:color="000000"/>
              <w:right w:val="single" w:sz="4" w:space="0" w:color="000000"/>
            </w:tcBorders>
            <w:vAlign w:val="center"/>
          </w:tcPr>
          <w:p>
            <w:pPr>
              <w:pStyle w:val="Normal"/>
              <w:widowControl w:val="false"/>
              <w:numPr>
                <w:ilvl w:val="0"/>
                <w:numId w:val="0"/>
              </w:numPr>
              <w:tabs>
                <w:tab w:val="clear" w:pos="720"/>
                <w:tab w:val="left" w:pos="343" w:leader="none"/>
                <w:tab w:val="left" w:pos="450" w:leader="none"/>
              </w:tabs>
              <w:ind w:hanging="510" w:left="227" w:right="227"/>
              <w:jc w:val="left"/>
              <w:outlineLvl w:val="0"/>
              <w:rPr>
                <w:b/>
                <w:bCs/>
                <w:color w:val="000000"/>
                <w:sz w:val="18"/>
                <w:szCs w:val="18"/>
              </w:rPr>
            </w:pPr>
            <w:r>
              <w:rPr>
                <w:b/>
                <w:bCs/>
                <w:color w:val="000000"/>
                <w:sz w:val="18"/>
                <w:szCs w:val="18"/>
              </w:rPr>
              <w:t>73 73 071,8</w:t>
            </w:r>
          </w:p>
        </w:tc>
        <w:tc>
          <w:tcPr>
            <w:tcW w:w="912" w:type="dxa"/>
            <w:tcBorders>
              <w:bottom w:val="single" w:sz="4" w:space="0" w:color="000000"/>
              <w:right w:val="single" w:sz="4" w:space="0" w:color="000000"/>
            </w:tcBorders>
            <w:vAlign w:val="center"/>
          </w:tcPr>
          <w:p>
            <w:pPr>
              <w:pStyle w:val="Normal"/>
              <w:widowControl w:val="false"/>
              <w:numPr>
                <w:ilvl w:val="0"/>
                <w:numId w:val="0"/>
              </w:numPr>
              <w:ind w:firstLine="567" w:left="0" w:right="176"/>
              <w:jc w:val="left"/>
              <w:outlineLvl w:val="0"/>
              <w:rPr>
                <w:b/>
                <w:bCs/>
                <w:color w:val="000000"/>
                <w:sz w:val="18"/>
                <w:szCs w:val="18"/>
              </w:rPr>
            </w:pPr>
            <w:r>
              <w:rPr>
                <w:b/>
                <w:bCs/>
                <w:color w:val="000000"/>
                <w:sz w:val="18"/>
                <w:szCs w:val="18"/>
              </w:rPr>
              <w:t>0</w:t>
            </w:r>
          </w:p>
        </w:tc>
        <w:tc>
          <w:tcPr>
            <w:tcW w:w="963" w:type="dxa"/>
            <w:tcBorders>
              <w:bottom w:val="single" w:sz="4" w:space="0" w:color="000000"/>
              <w:right w:val="single" w:sz="4" w:space="0" w:color="000000"/>
            </w:tcBorders>
            <w:vAlign w:val="center"/>
          </w:tcPr>
          <w:p>
            <w:pPr>
              <w:pStyle w:val="Normal"/>
              <w:widowControl w:val="false"/>
              <w:numPr>
                <w:ilvl w:val="0"/>
                <w:numId w:val="0"/>
              </w:numPr>
              <w:ind w:firstLine="57" w:left="0" w:right="170"/>
              <w:outlineLvl w:val="0"/>
              <w:rPr>
                <w:b/>
                <w:bCs/>
                <w:color w:val="000000"/>
                <w:sz w:val="18"/>
                <w:szCs w:val="18"/>
              </w:rPr>
            </w:pPr>
            <w:r>
              <w:rPr>
                <w:b/>
                <w:bCs/>
                <w:color w:val="000000"/>
                <w:sz w:val="18"/>
                <w:szCs w:val="18"/>
              </w:rPr>
              <w:t>340,5</w:t>
            </w:r>
          </w:p>
        </w:tc>
        <w:tc>
          <w:tcPr>
            <w:tcW w:w="1020" w:type="dxa"/>
            <w:tcBorders>
              <w:bottom w:val="single" w:sz="4" w:space="0" w:color="000000"/>
              <w:right w:val="single" w:sz="4" w:space="0" w:color="000000"/>
            </w:tcBorders>
            <w:vAlign w:val="center"/>
          </w:tcPr>
          <w:p>
            <w:pPr>
              <w:pStyle w:val="Normal"/>
              <w:widowControl w:val="false"/>
              <w:numPr>
                <w:ilvl w:val="0"/>
                <w:numId w:val="0"/>
              </w:numPr>
              <w:ind w:hanging="0" w:left="0" w:right="170"/>
              <w:outlineLvl w:val="0"/>
              <w:rPr>
                <w:b/>
                <w:bCs/>
                <w:color w:val="000000"/>
                <w:sz w:val="18"/>
                <w:szCs w:val="18"/>
              </w:rPr>
            </w:pPr>
            <w:r>
              <w:rPr>
                <w:b/>
                <w:bCs/>
                <w:color w:val="000000"/>
                <w:sz w:val="18"/>
                <w:szCs w:val="18"/>
              </w:rPr>
              <w:t>72 731,3</w:t>
            </w:r>
          </w:p>
        </w:tc>
        <w:tc>
          <w:tcPr>
            <w:tcW w:w="789" w:type="dxa"/>
            <w:tcBorders>
              <w:bottom w:val="single" w:sz="4" w:space="0" w:color="000000"/>
              <w:right w:val="single" w:sz="4" w:space="0" w:color="000000"/>
            </w:tcBorders>
            <w:vAlign w:val="center"/>
          </w:tcPr>
          <w:p>
            <w:pPr>
              <w:pStyle w:val="Normal"/>
              <w:widowControl w:val="false"/>
              <w:numPr>
                <w:ilvl w:val="0"/>
                <w:numId w:val="0"/>
              </w:numPr>
              <w:ind w:firstLine="57" w:left="0" w:right="170"/>
              <w:outlineLvl w:val="0"/>
              <w:rPr>
                <w:b/>
                <w:bCs/>
                <w:color w:val="000000"/>
                <w:sz w:val="18"/>
                <w:szCs w:val="18"/>
              </w:rPr>
            </w:pPr>
            <w:r>
              <w:rPr>
                <w:b/>
                <w:bCs/>
                <w:color w:val="000000"/>
                <w:sz w:val="18"/>
                <w:szCs w:val="18"/>
              </w:rPr>
              <w:t>99,5</w:t>
            </w:r>
          </w:p>
        </w:tc>
      </w:tr>
      <w:tr>
        <w:trPr>
          <w:trHeight w:val="567" w:hRule="atLeast"/>
        </w:trPr>
        <w:tc>
          <w:tcPr>
            <w:tcW w:w="1361" w:type="dxa"/>
            <w:tcBorders>
              <w:left w:val="single" w:sz="4" w:space="0" w:color="000000"/>
              <w:bottom w:val="single" w:sz="4" w:space="0" w:color="000000"/>
              <w:right w:val="single" w:sz="4" w:space="0" w:color="000000"/>
            </w:tcBorders>
            <w:vAlign w:val="center"/>
          </w:tcPr>
          <w:p>
            <w:pPr>
              <w:pStyle w:val="Normal"/>
              <w:widowControl w:val="false"/>
              <w:numPr>
                <w:ilvl w:val="0"/>
                <w:numId w:val="0"/>
              </w:numPr>
              <w:ind w:firstLine="113" w:left="0" w:right="170"/>
              <w:jc w:val="left"/>
              <w:outlineLvl w:val="1"/>
              <w:rPr>
                <w:sz w:val="18"/>
                <w:szCs w:val="18"/>
              </w:rPr>
            </w:pPr>
            <w:r>
              <w:rPr>
                <w:sz w:val="18"/>
                <w:szCs w:val="18"/>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907" w:type="dxa"/>
            <w:tcBorders>
              <w:bottom w:val="single" w:sz="4" w:space="0" w:color="000000"/>
              <w:right w:val="single" w:sz="4" w:space="0" w:color="000000"/>
            </w:tcBorders>
            <w:vAlign w:val="center"/>
          </w:tcPr>
          <w:p>
            <w:pPr>
              <w:pStyle w:val="Normal"/>
              <w:widowControl w:val="false"/>
              <w:numPr>
                <w:ilvl w:val="0"/>
                <w:numId w:val="0"/>
              </w:numPr>
              <w:ind w:hanging="0" w:left="57" w:right="0"/>
              <w:outlineLvl w:val="1"/>
              <w:rPr>
                <w:color w:val="000000"/>
                <w:sz w:val="18"/>
                <w:szCs w:val="18"/>
              </w:rPr>
            </w:pPr>
            <w:r>
              <w:rPr>
                <w:color w:val="000000"/>
                <w:sz w:val="18"/>
                <w:szCs w:val="18"/>
              </w:rPr>
              <w:t>2 300 ,0</w:t>
            </w:r>
          </w:p>
        </w:tc>
        <w:tc>
          <w:tcPr>
            <w:tcW w:w="850"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1"/>
              <w:rPr>
                <w:color w:val="000000"/>
                <w:sz w:val="18"/>
                <w:szCs w:val="18"/>
              </w:rPr>
            </w:pPr>
            <w:r>
              <w:rPr>
                <w:color w:val="000000"/>
                <w:sz w:val="18"/>
                <w:szCs w:val="18"/>
              </w:rPr>
              <w:t>0</w:t>
            </w:r>
          </w:p>
        </w:tc>
        <w:tc>
          <w:tcPr>
            <w:tcW w:w="1018"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1"/>
              <w:rPr>
                <w:color w:val="000000"/>
                <w:sz w:val="18"/>
                <w:szCs w:val="18"/>
              </w:rPr>
            </w:pPr>
            <w:r>
              <w:rPr>
                <w:color w:val="000000"/>
                <w:sz w:val="18"/>
                <w:szCs w:val="18"/>
              </w:rPr>
              <w:t>0</w:t>
            </w:r>
          </w:p>
        </w:tc>
        <w:tc>
          <w:tcPr>
            <w:tcW w:w="1027" w:type="dxa"/>
            <w:tcBorders>
              <w:bottom w:val="single" w:sz="4" w:space="0" w:color="000000"/>
              <w:right w:val="single" w:sz="4" w:space="0" w:color="000000"/>
            </w:tcBorders>
            <w:vAlign w:val="center"/>
          </w:tcPr>
          <w:p>
            <w:pPr>
              <w:pStyle w:val="Normal"/>
              <w:widowControl w:val="false"/>
              <w:numPr>
                <w:ilvl w:val="0"/>
                <w:numId w:val="0"/>
              </w:numPr>
              <w:tabs>
                <w:tab w:val="clear" w:pos="720"/>
                <w:tab w:val="left" w:pos="279" w:leader="none"/>
              </w:tabs>
              <w:ind w:hanging="57" w:left="57" w:right="113"/>
              <w:jc w:val="left"/>
              <w:outlineLvl w:val="1"/>
              <w:rPr>
                <w:sz w:val="18"/>
                <w:szCs w:val="18"/>
              </w:rPr>
            </w:pPr>
            <w:r>
              <w:rPr>
                <w:sz w:val="18"/>
                <w:szCs w:val="18"/>
              </w:rPr>
              <w:t>2 300 ,0</w:t>
            </w:r>
          </w:p>
        </w:tc>
        <w:tc>
          <w:tcPr>
            <w:tcW w:w="1073" w:type="dxa"/>
            <w:tcBorders>
              <w:bottom w:val="single" w:sz="4" w:space="0" w:color="000000"/>
              <w:right w:val="single" w:sz="4" w:space="0" w:color="000000"/>
            </w:tcBorders>
            <w:vAlign w:val="center"/>
          </w:tcPr>
          <w:p>
            <w:pPr>
              <w:pStyle w:val="Normal"/>
              <w:widowControl w:val="false"/>
              <w:numPr>
                <w:ilvl w:val="0"/>
                <w:numId w:val="0"/>
              </w:numPr>
              <w:suppressAutoHyphens w:val="true"/>
              <w:bidi w:val="0"/>
              <w:spacing w:before="0" w:after="0"/>
              <w:ind w:hanging="0" w:left="0" w:right="170"/>
              <w:jc w:val="both"/>
              <w:outlineLvl w:val="1"/>
              <w:rPr>
                <w:color w:val="000000"/>
                <w:sz w:val="18"/>
                <w:szCs w:val="18"/>
              </w:rPr>
            </w:pPr>
            <w:r>
              <w:rPr>
                <w:color w:val="000000"/>
                <w:sz w:val="18"/>
                <w:szCs w:val="18"/>
              </w:rPr>
              <w:t>2 300, 0</w:t>
            </w:r>
          </w:p>
        </w:tc>
        <w:tc>
          <w:tcPr>
            <w:tcW w:w="912"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1"/>
              <w:rPr>
                <w:color w:val="000000"/>
                <w:sz w:val="18"/>
                <w:szCs w:val="18"/>
              </w:rPr>
            </w:pPr>
            <w:r>
              <w:rPr>
                <w:color w:val="000000"/>
                <w:sz w:val="18"/>
                <w:szCs w:val="18"/>
              </w:rPr>
              <w:t>0</w:t>
            </w:r>
          </w:p>
        </w:tc>
        <w:tc>
          <w:tcPr>
            <w:tcW w:w="963"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1"/>
              <w:rPr>
                <w:color w:val="000000"/>
                <w:sz w:val="18"/>
                <w:szCs w:val="18"/>
              </w:rPr>
            </w:pPr>
            <w:r>
              <w:rPr>
                <w:color w:val="000000"/>
                <w:sz w:val="18"/>
                <w:szCs w:val="18"/>
              </w:rPr>
              <w:t>0</w:t>
            </w:r>
          </w:p>
        </w:tc>
        <w:tc>
          <w:tcPr>
            <w:tcW w:w="1020" w:type="dxa"/>
            <w:tcBorders>
              <w:bottom w:val="single" w:sz="4" w:space="0" w:color="000000"/>
              <w:right w:val="single" w:sz="4" w:space="0" w:color="000000"/>
            </w:tcBorders>
            <w:vAlign w:val="center"/>
          </w:tcPr>
          <w:p>
            <w:pPr>
              <w:pStyle w:val="Normal"/>
              <w:widowControl w:val="false"/>
              <w:numPr>
                <w:ilvl w:val="0"/>
                <w:numId w:val="0"/>
              </w:numPr>
              <w:suppressAutoHyphens w:val="true"/>
              <w:bidi w:val="0"/>
              <w:spacing w:before="0" w:after="0"/>
              <w:ind w:hanging="0" w:left="0" w:right="170"/>
              <w:jc w:val="both"/>
              <w:outlineLvl w:val="1"/>
              <w:rPr>
                <w:sz w:val="18"/>
                <w:szCs w:val="18"/>
              </w:rPr>
            </w:pPr>
            <w:r>
              <w:rPr>
                <w:sz w:val="18"/>
                <w:szCs w:val="18"/>
              </w:rPr>
              <w:t>2 300, 0</w:t>
            </w:r>
          </w:p>
        </w:tc>
        <w:tc>
          <w:tcPr>
            <w:tcW w:w="789" w:type="dxa"/>
            <w:tcBorders>
              <w:bottom w:val="single" w:sz="4" w:space="0" w:color="000000"/>
              <w:right w:val="single" w:sz="4" w:space="0" w:color="000000"/>
            </w:tcBorders>
            <w:vAlign w:val="center"/>
          </w:tcPr>
          <w:p>
            <w:pPr>
              <w:pStyle w:val="Normal"/>
              <w:widowControl w:val="false"/>
              <w:numPr>
                <w:ilvl w:val="0"/>
                <w:numId w:val="0"/>
              </w:numPr>
              <w:ind w:firstLine="57" w:left="0" w:right="57"/>
              <w:outlineLvl w:val="1"/>
              <w:rPr>
                <w:color w:val="000000"/>
                <w:sz w:val="18"/>
                <w:szCs w:val="18"/>
              </w:rPr>
            </w:pPr>
            <w:r>
              <w:rPr>
                <w:color w:val="000000"/>
                <w:sz w:val="18"/>
                <w:szCs w:val="18"/>
              </w:rPr>
              <w:t>100,0</w:t>
            </w:r>
          </w:p>
        </w:tc>
      </w:tr>
      <w:tr>
        <w:trPr>
          <w:trHeight w:val="567" w:hRule="atLeast"/>
        </w:trPr>
        <w:tc>
          <w:tcPr>
            <w:tcW w:w="1361" w:type="dxa"/>
            <w:tcBorders>
              <w:left w:val="single" w:sz="4" w:space="0" w:color="000000"/>
              <w:bottom w:val="single" w:sz="4" w:space="0" w:color="000000"/>
              <w:right w:val="single" w:sz="4" w:space="0" w:color="000000"/>
            </w:tcBorders>
            <w:vAlign w:val="center"/>
          </w:tcPr>
          <w:p>
            <w:pPr>
              <w:pStyle w:val="Normal"/>
              <w:widowControl w:val="false"/>
              <w:numPr>
                <w:ilvl w:val="0"/>
                <w:numId w:val="0"/>
              </w:numPr>
              <w:ind w:hanging="0" w:left="0" w:right="170"/>
              <w:outlineLvl w:val="2"/>
              <w:rPr>
                <w:sz w:val="18"/>
                <w:szCs w:val="18"/>
              </w:rPr>
            </w:pPr>
            <w:r>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p>
        </w:tc>
        <w:tc>
          <w:tcPr>
            <w:tcW w:w="907" w:type="dxa"/>
            <w:tcBorders>
              <w:bottom w:val="single" w:sz="4" w:space="0" w:color="000000"/>
              <w:right w:val="single" w:sz="4" w:space="0" w:color="000000"/>
            </w:tcBorders>
            <w:vAlign w:val="center"/>
          </w:tcPr>
          <w:p>
            <w:pPr>
              <w:pStyle w:val="Normal"/>
              <w:widowControl w:val="false"/>
              <w:numPr>
                <w:ilvl w:val="0"/>
                <w:numId w:val="0"/>
              </w:numPr>
              <w:ind w:hanging="0" w:left="0" w:right="0"/>
              <w:outlineLvl w:val="2"/>
              <w:rPr>
                <w:color w:val="000000"/>
                <w:sz w:val="18"/>
                <w:szCs w:val="18"/>
              </w:rPr>
            </w:pPr>
            <w:r>
              <w:rPr>
                <w:color w:val="000000"/>
                <w:sz w:val="18"/>
                <w:szCs w:val="18"/>
              </w:rPr>
              <w:t>6 810, 2</w:t>
            </w:r>
          </w:p>
        </w:tc>
        <w:tc>
          <w:tcPr>
            <w:tcW w:w="850"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2"/>
              <w:rPr>
                <w:color w:val="000000"/>
                <w:sz w:val="18"/>
                <w:szCs w:val="18"/>
              </w:rPr>
            </w:pPr>
            <w:r>
              <w:rPr>
                <w:color w:val="000000"/>
                <w:sz w:val="18"/>
                <w:szCs w:val="18"/>
              </w:rPr>
              <w:t>0</w:t>
            </w:r>
          </w:p>
        </w:tc>
        <w:tc>
          <w:tcPr>
            <w:tcW w:w="1018" w:type="dxa"/>
            <w:tcBorders>
              <w:bottom w:val="single" w:sz="4" w:space="0" w:color="000000"/>
              <w:right w:val="single" w:sz="4" w:space="0" w:color="000000"/>
            </w:tcBorders>
            <w:vAlign w:val="center"/>
          </w:tcPr>
          <w:p>
            <w:pPr>
              <w:pStyle w:val="Normal"/>
              <w:widowControl w:val="false"/>
              <w:numPr>
                <w:ilvl w:val="0"/>
                <w:numId w:val="0"/>
              </w:numPr>
              <w:ind w:hanging="0" w:left="0" w:right="170"/>
              <w:outlineLvl w:val="2"/>
              <w:rPr>
                <w:sz w:val="18"/>
                <w:szCs w:val="18"/>
              </w:rPr>
            </w:pPr>
            <w:r>
              <w:rPr>
                <w:sz w:val="18"/>
                <w:szCs w:val="18"/>
              </w:rPr>
              <w:t>340, 5</w:t>
            </w:r>
          </w:p>
        </w:tc>
        <w:tc>
          <w:tcPr>
            <w:tcW w:w="1027" w:type="dxa"/>
            <w:tcBorders>
              <w:bottom w:val="single" w:sz="4" w:space="0" w:color="000000"/>
              <w:right w:val="single" w:sz="4" w:space="0" w:color="000000"/>
            </w:tcBorders>
            <w:vAlign w:val="center"/>
          </w:tcPr>
          <w:p>
            <w:pPr>
              <w:pStyle w:val="Normal"/>
              <w:widowControl w:val="false"/>
              <w:numPr>
                <w:ilvl w:val="0"/>
                <w:numId w:val="0"/>
              </w:numPr>
              <w:suppressAutoHyphens w:val="true"/>
              <w:bidi w:val="0"/>
              <w:spacing w:before="0" w:after="0"/>
              <w:ind w:hanging="0" w:left="0" w:right="170"/>
              <w:jc w:val="both"/>
              <w:outlineLvl w:val="2"/>
              <w:rPr>
                <w:sz w:val="18"/>
                <w:szCs w:val="18"/>
              </w:rPr>
            </w:pPr>
            <w:r>
              <w:rPr>
                <w:sz w:val="18"/>
                <w:szCs w:val="18"/>
              </w:rPr>
              <w:t>6 469,7</w:t>
            </w:r>
          </w:p>
        </w:tc>
        <w:tc>
          <w:tcPr>
            <w:tcW w:w="1073" w:type="dxa"/>
            <w:tcBorders>
              <w:bottom w:val="single" w:sz="4" w:space="0" w:color="000000"/>
              <w:right w:val="single" w:sz="4" w:space="0" w:color="000000"/>
            </w:tcBorders>
            <w:vAlign w:val="center"/>
          </w:tcPr>
          <w:p>
            <w:pPr>
              <w:pStyle w:val="Normal"/>
              <w:widowControl w:val="false"/>
              <w:numPr>
                <w:ilvl w:val="0"/>
                <w:numId w:val="0"/>
              </w:numPr>
              <w:suppressAutoHyphens w:val="true"/>
              <w:bidi w:val="0"/>
              <w:spacing w:before="0" w:after="0"/>
              <w:ind w:hanging="0" w:left="0" w:right="170"/>
              <w:jc w:val="left"/>
              <w:outlineLvl w:val="2"/>
              <w:rPr>
                <w:color w:val="000000"/>
                <w:sz w:val="18"/>
                <w:szCs w:val="18"/>
              </w:rPr>
            </w:pPr>
            <w:r>
              <w:rPr>
                <w:color w:val="000000"/>
                <w:sz w:val="18"/>
                <w:szCs w:val="18"/>
              </w:rPr>
              <w:t>6 810, 0</w:t>
            </w:r>
          </w:p>
        </w:tc>
        <w:tc>
          <w:tcPr>
            <w:tcW w:w="912"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2"/>
              <w:rPr>
                <w:color w:val="000000"/>
                <w:sz w:val="18"/>
                <w:szCs w:val="18"/>
              </w:rPr>
            </w:pPr>
            <w:r>
              <w:rPr>
                <w:color w:val="000000"/>
                <w:sz w:val="18"/>
                <w:szCs w:val="18"/>
              </w:rPr>
              <w:t>0</w:t>
            </w:r>
          </w:p>
        </w:tc>
        <w:tc>
          <w:tcPr>
            <w:tcW w:w="963" w:type="dxa"/>
            <w:tcBorders>
              <w:bottom w:val="single" w:sz="4" w:space="0" w:color="000000"/>
              <w:right w:val="single" w:sz="4" w:space="0" w:color="000000"/>
            </w:tcBorders>
            <w:vAlign w:val="center"/>
          </w:tcPr>
          <w:p>
            <w:pPr>
              <w:pStyle w:val="Normal"/>
              <w:widowControl w:val="false"/>
              <w:numPr>
                <w:ilvl w:val="0"/>
                <w:numId w:val="0"/>
              </w:numPr>
              <w:ind w:hanging="0" w:left="0" w:right="170"/>
              <w:outlineLvl w:val="2"/>
              <w:rPr>
                <w:sz w:val="18"/>
                <w:szCs w:val="18"/>
              </w:rPr>
            </w:pPr>
            <w:r>
              <w:rPr>
                <w:sz w:val="18"/>
                <w:szCs w:val="18"/>
              </w:rPr>
              <w:t>340, 5</w:t>
            </w:r>
          </w:p>
        </w:tc>
        <w:tc>
          <w:tcPr>
            <w:tcW w:w="1020" w:type="dxa"/>
            <w:tcBorders>
              <w:bottom w:val="single" w:sz="4" w:space="0" w:color="000000"/>
              <w:right w:val="single" w:sz="4" w:space="0" w:color="000000"/>
            </w:tcBorders>
            <w:vAlign w:val="center"/>
          </w:tcPr>
          <w:p>
            <w:pPr>
              <w:pStyle w:val="Normal"/>
              <w:widowControl w:val="false"/>
              <w:numPr>
                <w:ilvl w:val="0"/>
                <w:numId w:val="0"/>
              </w:numPr>
              <w:suppressAutoHyphens w:val="true"/>
              <w:bidi w:val="0"/>
              <w:spacing w:before="0" w:after="0"/>
              <w:ind w:hanging="0" w:left="0" w:right="170"/>
              <w:jc w:val="both"/>
              <w:outlineLvl w:val="2"/>
              <w:rPr>
                <w:sz w:val="18"/>
                <w:szCs w:val="18"/>
              </w:rPr>
            </w:pPr>
            <w:r>
              <w:rPr>
                <w:sz w:val="18"/>
                <w:szCs w:val="18"/>
              </w:rPr>
              <w:t>6 469, 5</w:t>
            </w:r>
          </w:p>
        </w:tc>
        <w:tc>
          <w:tcPr>
            <w:tcW w:w="789" w:type="dxa"/>
            <w:tcBorders>
              <w:bottom w:val="single" w:sz="4" w:space="0" w:color="000000"/>
              <w:right w:val="single" w:sz="4" w:space="0" w:color="000000"/>
            </w:tcBorders>
            <w:vAlign w:val="center"/>
          </w:tcPr>
          <w:p>
            <w:pPr>
              <w:pStyle w:val="Normal"/>
              <w:widowControl w:val="false"/>
              <w:numPr>
                <w:ilvl w:val="0"/>
                <w:numId w:val="0"/>
              </w:numPr>
              <w:ind w:hanging="0" w:left="0" w:right="170"/>
              <w:outlineLvl w:val="2"/>
              <w:rPr>
                <w:color w:val="000000"/>
                <w:sz w:val="18"/>
                <w:szCs w:val="18"/>
              </w:rPr>
            </w:pPr>
            <w:r>
              <w:rPr>
                <w:color w:val="000000"/>
                <w:sz w:val="18"/>
                <w:szCs w:val="18"/>
              </w:rPr>
              <w:t>100.0</w:t>
            </w:r>
          </w:p>
        </w:tc>
      </w:tr>
      <w:tr>
        <w:trPr>
          <w:trHeight w:val="567" w:hRule="atLeast"/>
        </w:trPr>
        <w:tc>
          <w:tcPr>
            <w:tcW w:w="1361" w:type="dxa"/>
            <w:tcBorders>
              <w:left w:val="single" w:sz="4" w:space="0" w:color="000000"/>
              <w:bottom w:val="single" w:sz="4" w:space="0" w:color="000000"/>
              <w:right w:val="single" w:sz="4" w:space="0" w:color="000000"/>
            </w:tcBorders>
            <w:vAlign w:val="center"/>
          </w:tcPr>
          <w:p>
            <w:pPr>
              <w:pStyle w:val="Normal"/>
              <w:widowControl w:val="false"/>
              <w:numPr>
                <w:ilvl w:val="0"/>
                <w:numId w:val="0"/>
              </w:numPr>
              <w:ind w:hanging="0" w:left="0" w:right="170"/>
              <w:outlineLvl w:val="2"/>
              <w:rPr>
                <w:sz w:val="18"/>
                <w:szCs w:val="18"/>
              </w:rPr>
            </w:pPr>
            <w:r>
              <w:rPr>
                <w:sz w:val="18"/>
                <w:szCs w:val="18"/>
              </w:rPr>
              <w:t>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07" w:type="dxa"/>
            <w:tcBorders>
              <w:bottom w:val="single" w:sz="4" w:space="0" w:color="000000"/>
              <w:right w:val="single" w:sz="4" w:space="0" w:color="000000"/>
            </w:tcBorders>
            <w:vAlign w:val="center"/>
          </w:tcPr>
          <w:p>
            <w:pPr>
              <w:pStyle w:val="Normal"/>
              <w:widowControl w:val="false"/>
              <w:numPr>
                <w:ilvl w:val="0"/>
                <w:numId w:val="0"/>
              </w:numPr>
              <w:ind w:hanging="0" w:left="0" w:right="0"/>
              <w:outlineLvl w:val="2"/>
              <w:rPr>
                <w:color w:val="000000"/>
                <w:sz w:val="18"/>
                <w:szCs w:val="18"/>
              </w:rPr>
            </w:pPr>
            <w:r>
              <w:rPr>
                <w:color w:val="000000"/>
                <w:sz w:val="18"/>
                <w:szCs w:val="18"/>
              </w:rPr>
              <w:t>64 309, 4</w:t>
            </w:r>
          </w:p>
        </w:tc>
        <w:tc>
          <w:tcPr>
            <w:tcW w:w="850"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2"/>
              <w:rPr>
                <w:color w:val="000000"/>
                <w:sz w:val="18"/>
                <w:szCs w:val="18"/>
              </w:rPr>
            </w:pPr>
            <w:r>
              <w:rPr>
                <w:color w:val="000000"/>
                <w:sz w:val="18"/>
                <w:szCs w:val="18"/>
              </w:rPr>
              <w:t>0</w:t>
            </w:r>
          </w:p>
        </w:tc>
        <w:tc>
          <w:tcPr>
            <w:tcW w:w="1018"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2"/>
              <w:rPr>
                <w:color w:val="000000"/>
                <w:sz w:val="18"/>
                <w:szCs w:val="18"/>
              </w:rPr>
            </w:pPr>
            <w:r>
              <w:rPr>
                <w:color w:val="000000"/>
                <w:sz w:val="18"/>
                <w:szCs w:val="18"/>
              </w:rPr>
              <w:t>0</w:t>
            </w:r>
          </w:p>
        </w:tc>
        <w:tc>
          <w:tcPr>
            <w:tcW w:w="1027" w:type="dxa"/>
            <w:tcBorders>
              <w:bottom w:val="single" w:sz="4" w:space="0" w:color="000000"/>
              <w:right w:val="single" w:sz="4" w:space="0" w:color="000000"/>
            </w:tcBorders>
            <w:vAlign w:val="center"/>
          </w:tcPr>
          <w:p>
            <w:pPr>
              <w:pStyle w:val="Normal"/>
              <w:widowControl w:val="false"/>
              <w:numPr>
                <w:ilvl w:val="0"/>
                <w:numId w:val="0"/>
              </w:numPr>
              <w:ind w:firstLine="57" w:left="0" w:right="0"/>
              <w:outlineLvl w:val="2"/>
              <w:rPr>
                <w:sz w:val="18"/>
                <w:szCs w:val="18"/>
              </w:rPr>
            </w:pPr>
            <w:r>
              <w:rPr>
                <w:sz w:val="18"/>
                <w:szCs w:val="18"/>
              </w:rPr>
              <w:t>64 309, 4</w:t>
            </w:r>
          </w:p>
        </w:tc>
        <w:tc>
          <w:tcPr>
            <w:tcW w:w="1073" w:type="dxa"/>
            <w:tcBorders>
              <w:bottom w:val="single" w:sz="4" w:space="0" w:color="000000"/>
              <w:right w:val="single" w:sz="4" w:space="0" w:color="000000"/>
            </w:tcBorders>
            <w:vAlign w:val="center"/>
          </w:tcPr>
          <w:p>
            <w:pPr>
              <w:pStyle w:val="Normal"/>
              <w:widowControl w:val="false"/>
              <w:numPr>
                <w:ilvl w:val="0"/>
                <w:numId w:val="0"/>
              </w:numPr>
              <w:suppressAutoHyphens w:val="true"/>
              <w:bidi w:val="0"/>
              <w:spacing w:before="0" w:after="0"/>
              <w:ind w:hanging="0" w:left="0" w:right="170"/>
              <w:jc w:val="left"/>
              <w:outlineLvl w:val="2"/>
              <w:rPr>
                <w:color w:val="000000"/>
                <w:sz w:val="18"/>
                <w:szCs w:val="18"/>
              </w:rPr>
            </w:pPr>
            <w:r>
              <w:rPr>
                <w:color w:val="000000"/>
                <w:sz w:val="18"/>
                <w:szCs w:val="18"/>
              </w:rPr>
              <w:t>63 961, 8</w:t>
            </w:r>
          </w:p>
        </w:tc>
        <w:tc>
          <w:tcPr>
            <w:tcW w:w="912"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2"/>
              <w:rPr>
                <w:color w:val="000000"/>
                <w:sz w:val="18"/>
                <w:szCs w:val="18"/>
              </w:rPr>
            </w:pPr>
            <w:r>
              <w:rPr>
                <w:color w:val="000000"/>
                <w:sz w:val="18"/>
                <w:szCs w:val="18"/>
              </w:rPr>
              <w:t>0</w:t>
            </w:r>
          </w:p>
        </w:tc>
        <w:tc>
          <w:tcPr>
            <w:tcW w:w="963"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2"/>
              <w:rPr>
                <w:color w:val="000000"/>
                <w:sz w:val="18"/>
                <w:szCs w:val="18"/>
              </w:rPr>
            </w:pPr>
            <w:r>
              <w:rPr>
                <w:color w:val="000000"/>
                <w:sz w:val="18"/>
                <w:szCs w:val="18"/>
              </w:rPr>
              <w:t>0</w:t>
            </w:r>
          </w:p>
        </w:tc>
        <w:tc>
          <w:tcPr>
            <w:tcW w:w="1020" w:type="dxa"/>
            <w:tcBorders>
              <w:bottom w:val="single" w:sz="4" w:space="0" w:color="000000"/>
              <w:right w:val="single" w:sz="4" w:space="0" w:color="000000"/>
            </w:tcBorders>
            <w:vAlign w:val="center"/>
          </w:tcPr>
          <w:p>
            <w:pPr>
              <w:pStyle w:val="Normal"/>
              <w:widowControl w:val="false"/>
              <w:numPr>
                <w:ilvl w:val="0"/>
                <w:numId w:val="0"/>
              </w:numPr>
              <w:spacing w:before="0" w:after="0"/>
              <w:ind w:hanging="0" w:left="0" w:right="170"/>
              <w:outlineLvl w:val="2"/>
              <w:rPr>
                <w:sz w:val="18"/>
                <w:szCs w:val="18"/>
              </w:rPr>
            </w:pPr>
            <w:r>
              <w:rPr>
                <w:sz w:val="18"/>
                <w:szCs w:val="18"/>
              </w:rPr>
              <w:t>63961, 8</w:t>
            </w:r>
          </w:p>
        </w:tc>
        <w:tc>
          <w:tcPr>
            <w:tcW w:w="789" w:type="dxa"/>
            <w:tcBorders>
              <w:bottom w:val="single" w:sz="4" w:space="0" w:color="000000"/>
              <w:right w:val="single" w:sz="4" w:space="0" w:color="000000"/>
            </w:tcBorders>
            <w:vAlign w:val="center"/>
          </w:tcPr>
          <w:p>
            <w:pPr>
              <w:pStyle w:val="Normal"/>
              <w:widowControl w:val="false"/>
              <w:numPr>
                <w:ilvl w:val="0"/>
                <w:numId w:val="0"/>
              </w:numPr>
              <w:ind w:hanging="0" w:left="0" w:right="170"/>
              <w:outlineLvl w:val="2"/>
              <w:rPr>
                <w:color w:val="000000"/>
                <w:sz w:val="18"/>
                <w:szCs w:val="18"/>
              </w:rPr>
            </w:pPr>
            <w:r>
              <w:rPr>
                <w:color w:val="000000"/>
                <w:sz w:val="18"/>
                <w:szCs w:val="18"/>
              </w:rPr>
              <w:t>99.5</w:t>
            </w:r>
          </w:p>
        </w:tc>
      </w:tr>
      <w:tr>
        <w:trPr>
          <w:trHeight w:val="567" w:hRule="atLeast"/>
        </w:trPr>
        <w:tc>
          <w:tcPr>
            <w:tcW w:w="1361" w:type="dxa"/>
            <w:tcBorders>
              <w:left w:val="single" w:sz="4" w:space="0" w:color="000000"/>
              <w:bottom w:val="single" w:sz="4" w:space="0" w:color="000000"/>
              <w:right w:val="single" w:sz="4" w:space="0" w:color="000000"/>
            </w:tcBorders>
            <w:vAlign w:val="center"/>
          </w:tcPr>
          <w:p>
            <w:pPr>
              <w:pStyle w:val="Normal"/>
              <w:widowControl w:val="false"/>
              <w:ind w:firstLine="57" w:right="170"/>
              <w:rPr>
                <w:b/>
                <w:bCs/>
                <w:sz w:val="18"/>
                <w:szCs w:val="18"/>
              </w:rPr>
            </w:pPr>
            <w:r>
              <w:rPr>
                <w:b/>
                <w:bCs/>
                <w:sz w:val="18"/>
                <w:szCs w:val="18"/>
              </w:rPr>
              <w:t>Региональный проект "Все лучшее детям"</w:t>
            </w:r>
          </w:p>
        </w:tc>
        <w:tc>
          <w:tcPr>
            <w:tcW w:w="907" w:type="dxa"/>
            <w:tcBorders>
              <w:bottom w:val="single" w:sz="4" w:space="0" w:color="000000"/>
              <w:right w:val="single" w:sz="4" w:space="0" w:color="000000"/>
            </w:tcBorders>
            <w:vAlign w:val="center"/>
          </w:tcPr>
          <w:p>
            <w:pPr>
              <w:pStyle w:val="Normal"/>
              <w:widowControl w:val="false"/>
              <w:ind w:hanging="0" w:right="57"/>
              <w:rPr>
                <w:b/>
                <w:bCs/>
                <w:color w:val="000000"/>
                <w:sz w:val="18"/>
                <w:szCs w:val="18"/>
              </w:rPr>
            </w:pPr>
            <w:r>
              <w:rPr>
                <w:b/>
                <w:bCs/>
                <w:color w:val="000000"/>
                <w:sz w:val="18"/>
                <w:szCs w:val="18"/>
              </w:rPr>
              <w:t>57 232,9</w:t>
            </w:r>
          </w:p>
        </w:tc>
        <w:tc>
          <w:tcPr>
            <w:tcW w:w="850" w:type="dxa"/>
            <w:tcBorders>
              <w:bottom w:val="single" w:sz="4" w:space="0" w:color="000000"/>
              <w:right w:val="single" w:sz="4" w:space="0" w:color="000000"/>
            </w:tcBorders>
            <w:vAlign w:val="center"/>
          </w:tcPr>
          <w:p>
            <w:pPr>
              <w:pStyle w:val="Normal"/>
              <w:widowControl w:val="false"/>
              <w:ind w:hanging="0" w:right="-57"/>
              <w:rPr>
                <w:b/>
                <w:bCs/>
                <w:color w:val="000000"/>
                <w:sz w:val="18"/>
                <w:szCs w:val="18"/>
              </w:rPr>
            </w:pPr>
            <w:r>
              <w:rPr>
                <w:b/>
                <w:bCs/>
                <w:color w:val="000000"/>
                <w:sz w:val="18"/>
                <w:szCs w:val="18"/>
              </w:rPr>
              <w:t>3 885,2</w:t>
            </w:r>
          </w:p>
        </w:tc>
        <w:tc>
          <w:tcPr>
            <w:tcW w:w="1018" w:type="dxa"/>
            <w:tcBorders>
              <w:bottom w:val="single" w:sz="4" w:space="0" w:color="000000"/>
              <w:right w:val="single" w:sz="4" w:space="0" w:color="000000"/>
            </w:tcBorders>
            <w:vAlign w:val="center"/>
          </w:tcPr>
          <w:p>
            <w:pPr>
              <w:pStyle w:val="Normal"/>
              <w:widowControl w:val="false"/>
              <w:ind w:hanging="0" w:right="-113"/>
              <w:rPr>
                <w:b/>
                <w:bCs/>
                <w:color w:val="000000"/>
                <w:sz w:val="18"/>
                <w:szCs w:val="18"/>
              </w:rPr>
            </w:pPr>
            <w:r>
              <w:rPr>
                <w:b/>
                <w:bCs/>
                <w:color w:val="000000"/>
                <w:sz w:val="18"/>
                <w:szCs w:val="18"/>
              </w:rPr>
              <w:t>14 008, 5</w:t>
            </w:r>
          </w:p>
        </w:tc>
        <w:tc>
          <w:tcPr>
            <w:tcW w:w="1027" w:type="dxa"/>
            <w:tcBorders>
              <w:bottom w:val="single" w:sz="4" w:space="0" w:color="000000"/>
              <w:right w:val="single" w:sz="4" w:space="0" w:color="000000"/>
            </w:tcBorders>
            <w:vAlign w:val="center"/>
          </w:tcPr>
          <w:p>
            <w:pPr>
              <w:pStyle w:val="Normal"/>
              <w:widowControl w:val="false"/>
              <w:ind w:hanging="0" w:right="0"/>
              <w:rPr>
                <w:b/>
                <w:bCs/>
                <w:color w:val="000000"/>
                <w:sz w:val="18"/>
                <w:szCs w:val="18"/>
              </w:rPr>
            </w:pPr>
            <w:r>
              <w:rPr>
                <w:b/>
                <w:bCs/>
                <w:color w:val="000000"/>
                <w:sz w:val="18"/>
                <w:szCs w:val="18"/>
              </w:rPr>
              <w:t>39 339,2</w:t>
            </w:r>
          </w:p>
        </w:tc>
        <w:tc>
          <w:tcPr>
            <w:tcW w:w="1073" w:type="dxa"/>
            <w:tcBorders>
              <w:bottom w:val="single" w:sz="4" w:space="0" w:color="000000"/>
              <w:right w:val="single" w:sz="4" w:space="0" w:color="000000"/>
            </w:tcBorders>
            <w:vAlign w:val="center"/>
          </w:tcPr>
          <w:p>
            <w:pPr>
              <w:pStyle w:val="Normal"/>
              <w:widowControl w:val="false"/>
              <w:ind w:hanging="0" w:right="170"/>
              <w:rPr>
                <w:b/>
                <w:bCs/>
                <w:color w:val="000000"/>
                <w:sz w:val="18"/>
                <w:szCs w:val="18"/>
              </w:rPr>
            </w:pPr>
            <w:r>
              <w:rPr>
                <w:b/>
                <w:bCs/>
                <w:color w:val="000000"/>
                <w:sz w:val="18"/>
                <w:szCs w:val="18"/>
              </w:rPr>
              <w:t>56 911,3</w:t>
            </w:r>
          </w:p>
        </w:tc>
        <w:tc>
          <w:tcPr>
            <w:tcW w:w="912" w:type="dxa"/>
            <w:tcBorders>
              <w:bottom w:val="single" w:sz="4" w:space="0" w:color="000000"/>
              <w:right w:val="single" w:sz="4" w:space="0" w:color="000000"/>
            </w:tcBorders>
            <w:vAlign w:val="center"/>
          </w:tcPr>
          <w:p>
            <w:pPr>
              <w:pStyle w:val="Normal"/>
              <w:widowControl w:val="false"/>
              <w:ind w:hanging="0" w:right="-113"/>
              <w:rPr>
                <w:b/>
                <w:bCs/>
                <w:color w:val="000000"/>
                <w:sz w:val="18"/>
                <w:szCs w:val="18"/>
              </w:rPr>
            </w:pPr>
            <w:r>
              <w:rPr>
                <w:b/>
                <w:bCs/>
                <w:color w:val="000000"/>
                <w:sz w:val="18"/>
                <w:szCs w:val="18"/>
              </w:rPr>
              <w:t>3 858,0</w:t>
            </w:r>
          </w:p>
        </w:tc>
        <w:tc>
          <w:tcPr>
            <w:tcW w:w="963" w:type="dxa"/>
            <w:tcBorders>
              <w:bottom w:val="single" w:sz="4" w:space="0" w:color="000000"/>
              <w:right w:val="single" w:sz="4" w:space="0" w:color="000000"/>
            </w:tcBorders>
            <w:vAlign w:val="center"/>
          </w:tcPr>
          <w:p>
            <w:pPr>
              <w:pStyle w:val="Normal"/>
              <w:widowControl w:val="false"/>
              <w:ind w:hanging="0" w:right="-57"/>
              <w:rPr>
                <w:b/>
                <w:bCs/>
                <w:color w:val="000000"/>
                <w:sz w:val="18"/>
                <w:szCs w:val="18"/>
              </w:rPr>
            </w:pPr>
            <w:r>
              <w:rPr>
                <w:b/>
                <w:bCs/>
                <w:color w:val="000000"/>
                <w:sz w:val="18"/>
                <w:szCs w:val="18"/>
              </w:rPr>
              <w:t>13 929,1</w:t>
            </w:r>
          </w:p>
        </w:tc>
        <w:tc>
          <w:tcPr>
            <w:tcW w:w="1020" w:type="dxa"/>
            <w:tcBorders>
              <w:bottom w:val="single" w:sz="4" w:space="0" w:color="000000"/>
              <w:right w:val="single" w:sz="4" w:space="0" w:color="000000"/>
            </w:tcBorders>
            <w:vAlign w:val="center"/>
          </w:tcPr>
          <w:p>
            <w:pPr>
              <w:pStyle w:val="Normal"/>
              <w:widowControl w:val="false"/>
              <w:ind w:hanging="0" w:right="0"/>
              <w:rPr>
                <w:b/>
                <w:bCs/>
                <w:color w:val="000000"/>
                <w:sz w:val="18"/>
                <w:szCs w:val="18"/>
              </w:rPr>
            </w:pPr>
            <w:r>
              <w:rPr>
                <w:b/>
                <w:bCs/>
                <w:color w:val="000000"/>
                <w:sz w:val="18"/>
                <w:szCs w:val="18"/>
              </w:rPr>
              <w:t>39 124, 2</w:t>
            </w:r>
          </w:p>
        </w:tc>
        <w:tc>
          <w:tcPr>
            <w:tcW w:w="789" w:type="dxa"/>
            <w:tcBorders>
              <w:bottom w:val="single" w:sz="4" w:space="0" w:color="000000"/>
              <w:right w:val="single" w:sz="4" w:space="0" w:color="000000"/>
            </w:tcBorders>
            <w:vAlign w:val="center"/>
          </w:tcPr>
          <w:p>
            <w:pPr>
              <w:pStyle w:val="Normal"/>
              <w:widowControl w:val="false"/>
              <w:ind w:firstLine="57" w:right="170"/>
              <w:rPr>
                <w:b/>
                <w:bCs/>
                <w:color w:val="000000"/>
                <w:sz w:val="18"/>
                <w:szCs w:val="18"/>
              </w:rPr>
            </w:pPr>
            <w:r>
              <w:rPr>
                <w:b/>
                <w:bCs/>
                <w:color w:val="000000"/>
                <w:sz w:val="18"/>
                <w:szCs w:val="18"/>
              </w:rPr>
              <w:t>99.4</w:t>
            </w:r>
          </w:p>
        </w:tc>
      </w:tr>
      <w:tr>
        <w:trPr>
          <w:trHeight w:val="567" w:hRule="atLeast"/>
        </w:trPr>
        <w:tc>
          <w:tcPr>
            <w:tcW w:w="1361" w:type="dxa"/>
            <w:tcBorders>
              <w:left w:val="single" w:sz="4" w:space="0" w:color="000000"/>
              <w:bottom w:val="single" w:sz="4" w:space="0" w:color="000000"/>
              <w:right w:val="single" w:sz="4" w:space="0" w:color="000000"/>
            </w:tcBorders>
            <w:vAlign w:val="center"/>
          </w:tcPr>
          <w:p>
            <w:pPr>
              <w:pStyle w:val="Normal"/>
              <w:widowControl w:val="false"/>
              <w:numPr>
                <w:ilvl w:val="0"/>
                <w:numId w:val="0"/>
              </w:numPr>
              <w:ind w:firstLine="57" w:left="0" w:right="170"/>
              <w:outlineLvl w:val="0"/>
              <w:rPr>
                <w:sz w:val="18"/>
                <w:szCs w:val="18"/>
              </w:rPr>
            </w:pPr>
            <w:r>
              <w:rPr>
                <w:sz w:val="18"/>
                <w:szCs w:val="18"/>
              </w:rPr>
              <w:t>Оснащение предметных кабинетов   бщеобразователь-</w:t>
            </w:r>
          </w:p>
          <w:p>
            <w:pPr>
              <w:pStyle w:val="Normal"/>
              <w:widowControl w:val="false"/>
              <w:numPr>
                <w:ilvl w:val="0"/>
                <w:numId w:val="0"/>
              </w:numPr>
              <w:ind w:firstLine="57" w:left="0" w:right="170"/>
              <w:outlineLvl w:val="0"/>
              <w:rPr>
                <w:sz w:val="18"/>
                <w:szCs w:val="18"/>
              </w:rPr>
            </w:pPr>
            <w:r>
              <w:rPr>
                <w:sz w:val="18"/>
                <w:szCs w:val="18"/>
              </w:rPr>
              <w:t>ных организаций средствами обу-чения и воспитания</w:t>
            </w:r>
          </w:p>
        </w:tc>
        <w:tc>
          <w:tcPr>
            <w:tcW w:w="907" w:type="dxa"/>
            <w:tcBorders>
              <w:bottom w:val="single" w:sz="4" w:space="0" w:color="000000"/>
              <w:right w:val="single" w:sz="4" w:space="0" w:color="000000"/>
            </w:tcBorders>
            <w:vAlign w:val="center"/>
          </w:tcPr>
          <w:p>
            <w:pPr>
              <w:pStyle w:val="Normal"/>
              <w:widowControl w:val="false"/>
              <w:numPr>
                <w:ilvl w:val="0"/>
                <w:numId w:val="0"/>
              </w:numPr>
              <w:ind w:hanging="0" w:left="0" w:right="0"/>
              <w:outlineLvl w:val="0"/>
              <w:rPr>
                <w:color w:val="000000"/>
                <w:sz w:val="18"/>
                <w:szCs w:val="18"/>
              </w:rPr>
            </w:pPr>
            <w:r>
              <w:rPr>
                <w:color w:val="000000"/>
                <w:sz w:val="18"/>
                <w:szCs w:val="18"/>
              </w:rPr>
              <w:t>1 799, 0</w:t>
            </w:r>
          </w:p>
        </w:tc>
        <w:tc>
          <w:tcPr>
            <w:tcW w:w="850"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0"/>
              <w:rPr>
                <w:color w:val="000000"/>
                <w:sz w:val="18"/>
                <w:szCs w:val="18"/>
              </w:rPr>
            </w:pPr>
            <w:r>
              <w:rPr>
                <w:color w:val="000000"/>
                <w:sz w:val="18"/>
                <w:szCs w:val="18"/>
              </w:rPr>
              <w:t>0</w:t>
            </w:r>
          </w:p>
        </w:tc>
        <w:tc>
          <w:tcPr>
            <w:tcW w:w="1018" w:type="dxa"/>
            <w:tcBorders>
              <w:bottom w:val="single" w:sz="4" w:space="0" w:color="000000"/>
              <w:right w:val="single" w:sz="4" w:space="0" w:color="000000"/>
            </w:tcBorders>
            <w:vAlign w:val="center"/>
          </w:tcPr>
          <w:p>
            <w:pPr>
              <w:pStyle w:val="Normal"/>
              <w:widowControl w:val="false"/>
              <w:numPr>
                <w:ilvl w:val="0"/>
                <w:numId w:val="0"/>
              </w:numPr>
              <w:ind w:hanging="0" w:left="0" w:right="170"/>
              <w:outlineLvl w:val="0"/>
              <w:rPr>
                <w:sz w:val="18"/>
                <w:szCs w:val="18"/>
              </w:rPr>
            </w:pPr>
            <w:r>
              <w:rPr>
                <w:sz w:val="18"/>
                <w:szCs w:val="18"/>
              </w:rPr>
              <w:t>90,4</w:t>
            </w:r>
          </w:p>
        </w:tc>
        <w:tc>
          <w:tcPr>
            <w:tcW w:w="1027" w:type="dxa"/>
            <w:tcBorders>
              <w:bottom w:val="single" w:sz="4" w:space="0" w:color="000000"/>
              <w:right w:val="single" w:sz="4" w:space="0" w:color="000000"/>
            </w:tcBorders>
            <w:vAlign w:val="center"/>
          </w:tcPr>
          <w:p>
            <w:pPr>
              <w:pStyle w:val="Normal"/>
              <w:widowControl w:val="false"/>
              <w:numPr>
                <w:ilvl w:val="0"/>
                <w:numId w:val="0"/>
              </w:numPr>
              <w:ind w:hanging="0" w:left="0" w:right="0"/>
              <w:outlineLvl w:val="0"/>
              <w:rPr>
                <w:sz w:val="18"/>
                <w:szCs w:val="18"/>
              </w:rPr>
            </w:pPr>
            <w:r>
              <w:rPr>
                <w:sz w:val="18"/>
                <w:szCs w:val="18"/>
              </w:rPr>
              <w:t>1 708, 6</w:t>
            </w:r>
          </w:p>
        </w:tc>
        <w:tc>
          <w:tcPr>
            <w:tcW w:w="1073" w:type="dxa"/>
            <w:tcBorders>
              <w:bottom w:val="single" w:sz="4" w:space="0" w:color="000000"/>
              <w:right w:val="single" w:sz="4" w:space="0" w:color="000000"/>
            </w:tcBorders>
            <w:vAlign w:val="center"/>
          </w:tcPr>
          <w:p>
            <w:pPr>
              <w:pStyle w:val="Normal"/>
              <w:widowControl w:val="false"/>
              <w:numPr>
                <w:ilvl w:val="0"/>
                <w:numId w:val="0"/>
              </w:numPr>
              <w:ind w:firstLine="57" w:left="0" w:right="170"/>
              <w:outlineLvl w:val="0"/>
              <w:rPr>
                <w:color w:val="000000"/>
                <w:sz w:val="18"/>
                <w:szCs w:val="18"/>
              </w:rPr>
            </w:pPr>
            <w:r>
              <w:rPr>
                <w:color w:val="000000"/>
                <w:sz w:val="18"/>
                <w:szCs w:val="18"/>
              </w:rPr>
              <w:t>1 798, 8</w:t>
            </w:r>
          </w:p>
        </w:tc>
        <w:tc>
          <w:tcPr>
            <w:tcW w:w="912" w:type="dxa"/>
            <w:tcBorders>
              <w:bottom w:val="single" w:sz="4" w:space="0" w:color="000000"/>
              <w:right w:val="single" w:sz="4" w:space="0" w:color="000000"/>
            </w:tcBorders>
            <w:vAlign w:val="center"/>
          </w:tcPr>
          <w:p>
            <w:pPr>
              <w:pStyle w:val="Normal"/>
              <w:widowControl w:val="false"/>
              <w:numPr>
                <w:ilvl w:val="0"/>
                <w:numId w:val="0"/>
              </w:numPr>
              <w:ind w:firstLine="567" w:left="0" w:right="176"/>
              <w:outlineLvl w:val="0"/>
              <w:rPr>
                <w:color w:val="000000"/>
                <w:sz w:val="18"/>
                <w:szCs w:val="18"/>
              </w:rPr>
            </w:pPr>
            <w:r>
              <w:rPr>
                <w:color w:val="000000"/>
                <w:sz w:val="18"/>
                <w:szCs w:val="18"/>
              </w:rPr>
              <w:t>0</w:t>
            </w:r>
          </w:p>
        </w:tc>
        <w:tc>
          <w:tcPr>
            <w:tcW w:w="963" w:type="dxa"/>
            <w:tcBorders>
              <w:bottom w:val="single" w:sz="4" w:space="0" w:color="000000"/>
              <w:right w:val="single" w:sz="4" w:space="0" w:color="000000"/>
            </w:tcBorders>
            <w:vAlign w:val="center"/>
          </w:tcPr>
          <w:p>
            <w:pPr>
              <w:pStyle w:val="Normal"/>
              <w:widowControl w:val="false"/>
              <w:numPr>
                <w:ilvl w:val="0"/>
                <w:numId w:val="0"/>
              </w:numPr>
              <w:ind w:firstLine="57" w:left="0" w:right="170"/>
              <w:outlineLvl w:val="0"/>
              <w:rPr>
                <w:sz w:val="18"/>
                <w:szCs w:val="18"/>
              </w:rPr>
            </w:pPr>
            <w:r>
              <w:rPr>
                <w:sz w:val="18"/>
                <w:szCs w:val="18"/>
              </w:rPr>
              <w:t>90,4</w:t>
            </w:r>
          </w:p>
        </w:tc>
        <w:tc>
          <w:tcPr>
            <w:tcW w:w="1020" w:type="dxa"/>
            <w:tcBorders>
              <w:bottom w:val="single" w:sz="4" w:space="0" w:color="000000"/>
              <w:right w:val="single" w:sz="4" w:space="0" w:color="000000"/>
            </w:tcBorders>
            <w:vAlign w:val="center"/>
          </w:tcPr>
          <w:p>
            <w:pPr>
              <w:pStyle w:val="Normal"/>
              <w:widowControl w:val="false"/>
              <w:numPr>
                <w:ilvl w:val="0"/>
                <w:numId w:val="0"/>
              </w:numPr>
              <w:ind w:hanging="0" w:left="0" w:right="57"/>
              <w:outlineLvl w:val="0"/>
              <w:rPr>
                <w:sz w:val="18"/>
                <w:szCs w:val="18"/>
              </w:rPr>
            </w:pPr>
            <w:r>
              <w:rPr>
                <w:sz w:val="18"/>
                <w:szCs w:val="18"/>
              </w:rPr>
              <w:t>1 708, 4</w:t>
            </w:r>
          </w:p>
        </w:tc>
        <w:tc>
          <w:tcPr>
            <w:tcW w:w="789" w:type="dxa"/>
            <w:tcBorders>
              <w:bottom w:val="single" w:sz="4" w:space="0" w:color="000000"/>
              <w:right w:val="single" w:sz="4" w:space="0" w:color="000000"/>
            </w:tcBorders>
            <w:vAlign w:val="center"/>
          </w:tcPr>
          <w:p>
            <w:pPr>
              <w:pStyle w:val="Normal"/>
              <w:widowControl w:val="false"/>
              <w:numPr>
                <w:ilvl w:val="0"/>
                <w:numId w:val="0"/>
              </w:numPr>
              <w:ind w:hanging="0" w:left="0" w:right="170"/>
              <w:outlineLvl w:val="0"/>
              <w:rPr>
                <w:color w:val="000000"/>
                <w:sz w:val="18"/>
                <w:szCs w:val="18"/>
              </w:rPr>
            </w:pPr>
            <w:r>
              <w:rPr>
                <w:color w:val="000000"/>
                <w:sz w:val="18"/>
                <w:szCs w:val="18"/>
              </w:rPr>
              <w:t>100.0</w:t>
            </w:r>
          </w:p>
        </w:tc>
      </w:tr>
      <w:tr>
        <w:trPr>
          <w:trHeight w:val="567" w:hRule="atLeast"/>
        </w:trPr>
        <w:tc>
          <w:tcPr>
            <w:tcW w:w="1361" w:type="dxa"/>
            <w:tcBorders>
              <w:left w:val="single" w:sz="4" w:space="0" w:color="000000"/>
              <w:bottom w:val="single" w:sz="4" w:space="0" w:color="000000"/>
              <w:right w:val="single" w:sz="4" w:space="0" w:color="000000"/>
            </w:tcBorders>
            <w:vAlign w:val="center"/>
          </w:tcPr>
          <w:p>
            <w:pPr>
              <w:pStyle w:val="Normal"/>
              <w:widowControl w:val="false"/>
              <w:numPr>
                <w:ilvl w:val="0"/>
                <w:numId w:val="0"/>
              </w:numPr>
              <w:ind w:hanging="0" w:left="0" w:right="170"/>
              <w:outlineLvl w:val="0"/>
              <w:rPr>
                <w:sz w:val="18"/>
                <w:szCs w:val="18"/>
              </w:rPr>
            </w:pPr>
            <w:r>
              <w:rPr>
                <w:sz w:val="18"/>
                <w:szCs w:val="18"/>
              </w:rPr>
              <w:t>Реализация мероприятий по модернизации школьных систем образования (объекты капитального ремонта, по которым решение о предоставлении субсидии принято до отчетного финансового года)</w:t>
            </w:r>
          </w:p>
        </w:tc>
        <w:tc>
          <w:tcPr>
            <w:tcW w:w="907" w:type="dxa"/>
            <w:tcBorders>
              <w:bottom w:val="single" w:sz="4" w:space="0" w:color="000000"/>
              <w:right w:val="single" w:sz="4" w:space="0" w:color="000000"/>
            </w:tcBorders>
            <w:vAlign w:val="center"/>
          </w:tcPr>
          <w:p>
            <w:pPr>
              <w:pStyle w:val="Normal"/>
              <w:widowControl w:val="false"/>
              <w:numPr>
                <w:ilvl w:val="0"/>
                <w:numId w:val="0"/>
              </w:numPr>
              <w:ind w:hanging="0" w:left="0" w:right="0"/>
              <w:outlineLvl w:val="0"/>
              <w:rPr>
                <w:color w:val="000000"/>
                <w:sz w:val="18"/>
                <w:szCs w:val="18"/>
              </w:rPr>
            </w:pPr>
            <w:r>
              <w:rPr>
                <w:color w:val="000000"/>
                <w:sz w:val="18"/>
                <w:szCs w:val="18"/>
              </w:rPr>
              <w:t>55 433,9</w:t>
            </w:r>
          </w:p>
        </w:tc>
        <w:tc>
          <w:tcPr>
            <w:tcW w:w="850" w:type="dxa"/>
            <w:tcBorders>
              <w:bottom w:val="single" w:sz="4" w:space="0" w:color="000000"/>
              <w:right w:val="single" w:sz="4" w:space="0" w:color="000000"/>
            </w:tcBorders>
            <w:vAlign w:val="center"/>
          </w:tcPr>
          <w:p>
            <w:pPr>
              <w:pStyle w:val="Normal"/>
              <w:widowControl w:val="false"/>
              <w:numPr>
                <w:ilvl w:val="0"/>
                <w:numId w:val="0"/>
              </w:numPr>
              <w:tabs>
                <w:tab w:val="clear" w:pos="720"/>
                <w:tab w:val="left" w:pos="793" w:leader="none"/>
              </w:tabs>
              <w:ind w:hanging="0" w:left="0" w:right="0"/>
              <w:outlineLvl w:val="0"/>
              <w:rPr>
                <w:sz w:val="18"/>
                <w:szCs w:val="18"/>
              </w:rPr>
            </w:pPr>
            <w:r>
              <w:rPr>
                <w:sz w:val="18"/>
                <w:szCs w:val="18"/>
              </w:rPr>
              <w:t>3 885,2</w:t>
            </w:r>
          </w:p>
        </w:tc>
        <w:tc>
          <w:tcPr>
            <w:tcW w:w="1018" w:type="dxa"/>
            <w:tcBorders>
              <w:bottom w:val="single" w:sz="4" w:space="0" w:color="000000"/>
              <w:right w:val="single" w:sz="4" w:space="0" w:color="000000"/>
            </w:tcBorders>
            <w:vAlign w:val="center"/>
          </w:tcPr>
          <w:p>
            <w:pPr>
              <w:pStyle w:val="Normal"/>
              <w:widowControl w:val="false"/>
              <w:numPr>
                <w:ilvl w:val="0"/>
                <w:numId w:val="0"/>
              </w:numPr>
              <w:ind w:hanging="0" w:left="0" w:right="-57"/>
              <w:outlineLvl w:val="0"/>
              <w:rPr>
                <w:sz w:val="18"/>
                <w:szCs w:val="18"/>
              </w:rPr>
            </w:pPr>
            <w:r>
              <w:rPr>
                <w:sz w:val="18"/>
                <w:szCs w:val="18"/>
              </w:rPr>
              <w:t>13 918, 1</w:t>
            </w:r>
          </w:p>
        </w:tc>
        <w:tc>
          <w:tcPr>
            <w:tcW w:w="1027" w:type="dxa"/>
            <w:tcBorders>
              <w:bottom w:val="single" w:sz="4" w:space="0" w:color="000000"/>
              <w:right w:val="single" w:sz="4" w:space="0" w:color="000000"/>
            </w:tcBorders>
            <w:vAlign w:val="center"/>
          </w:tcPr>
          <w:p>
            <w:pPr>
              <w:pStyle w:val="Normal"/>
              <w:widowControl w:val="false"/>
              <w:numPr>
                <w:ilvl w:val="0"/>
                <w:numId w:val="0"/>
              </w:numPr>
              <w:ind w:hanging="0" w:left="0" w:right="0"/>
              <w:outlineLvl w:val="0"/>
              <w:rPr>
                <w:sz w:val="18"/>
                <w:szCs w:val="18"/>
              </w:rPr>
            </w:pPr>
            <w:r>
              <w:rPr>
                <w:sz w:val="18"/>
                <w:szCs w:val="18"/>
              </w:rPr>
              <w:t>37 630,6</w:t>
            </w:r>
          </w:p>
        </w:tc>
        <w:tc>
          <w:tcPr>
            <w:tcW w:w="1073" w:type="dxa"/>
            <w:tcBorders>
              <w:bottom w:val="single" w:sz="4" w:space="0" w:color="000000"/>
              <w:right w:val="single" w:sz="4" w:space="0" w:color="000000"/>
            </w:tcBorders>
            <w:vAlign w:val="center"/>
          </w:tcPr>
          <w:p>
            <w:pPr>
              <w:pStyle w:val="Normal"/>
              <w:widowControl w:val="false"/>
              <w:numPr>
                <w:ilvl w:val="0"/>
                <w:numId w:val="0"/>
              </w:numPr>
              <w:ind w:hanging="0" w:left="0" w:right="57"/>
              <w:outlineLvl w:val="0"/>
              <w:rPr>
                <w:color w:val="000000"/>
                <w:sz w:val="18"/>
                <w:szCs w:val="18"/>
              </w:rPr>
            </w:pPr>
            <w:r>
              <w:rPr>
                <w:color w:val="000000"/>
                <w:sz w:val="18"/>
                <w:szCs w:val="18"/>
              </w:rPr>
              <w:t>55 112,5</w:t>
            </w:r>
          </w:p>
        </w:tc>
        <w:tc>
          <w:tcPr>
            <w:tcW w:w="912" w:type="dxa"/>
            <w:tcBorders>
              <w:bottom w:val="single" w:sz="4" w:space="0" w:color="000000"/>
              <w:right w:val="single" w:sz="4" w:space="0" w:color="000000"/>
            </w:tcBorders>
            <w:vAlign w:val="center"/>
          </w:tcPr>
          <w:p>
            <w:pPr>
              <w:pStyle w:val="Normal"/>
              <w:widowControl w:val="false"/>
              <w:numPr>
                <w:ilvl w:val="0"/>
                <w:numId w:val="0"/>
              </w:numPr>
              <w:ind w:hanging="0" w:left="0" w:right="-113"/>
              <w:outlineLvl w:val="0"/>
              <w:rPr>
                <w:sz w:val="18"/>
                <w:szCs w:val="18"/>
              </w:rPr>
            </w:pPr>
            <w:r>
              <w:rPr>
                <w:sz w:val="18"/>
                <w:szCs w:val="18"/>
              </w:rPr>
              <w:t>3 857,9</w:t>
            </w:r>
          </w:p>
        </w:tc>
        <w:tc>
          <w:tcPr>
            <w:tcW w:w="963" w:type="dxa"/>
            <w:tcBorders>
              <w:bottom w:val="single" w:sz="4" w:space="0" w:color="000000"/>
              <w:right w:val="single" w:sz="4" w:space="0" w:color="000000"/>
            </w:tcBorders>
            <w:vAlign w:val="center"/>
          </w:tcPr>
          <w:p>
            <w:pPr>
              <w:pStyle w:val="Normal"/>
              <w:widowControl w:val="false"/>
              <w:numPr>
                <w:ilvl w:val="0"/>
                <w:numId w:val="0"/>
              </w:numPr>
              <w:ind w:hanging="0" w:left="0" w:right="0"/>
              <w:outlineLvl w:val="0"/>
              <w:rPr>
                <w:sz w:val="18"/>
                <w:szCs w:val="18"/>
              </w:rPr>
            </w:pPr>
            <w:r>
              <w:rPr>
                <w:sz w:val="18"/>
                <w:szCs w:val="18"/>
              </w:rPr>
              <w:t>13 838,8</w:t>
            </w:r>
          </w:p>
        </w:tc>
        <w:tc>
          <w:tcPr>
            <w:tcW w:w="1020" w:type="dxa"/>
            <w:tcBorders>
              <w:bottom w:val="single" w:sz="4" w:space="0" w:color="000000"/>
              <w:right w:val="single" w:sz="4" w:space="0" w:color="000000"/>
            </w:tcBorders>
            <w:vAlign w:val="center"/>
          </w:tcPr>
          <w:p>
            <w:pPr>
              <w:pStyle w:val="Normal"/>
              <w:widowControl w:val="false"/>
              <w:numPr>
                <w:ilvl w:val="0"/>
                <w:numId w:val="0"/>
              </w:numPr>
              <w:ind w:hanging="0" w:left="0" w:right="0"/>
              <w:outlineLvl w:val="0"/>
              <w:rPr>
                <w:sz w:val="18"/>
                <w:szCs w:val="18"/>
              </w:rPr>
            </w:pPr>
            <w:r>
              <w:rPr>
                <w:sz w:val="18"/>
                <w:szCs w:val="18"/>
              </w:rPr>
              <w:t>37 415, 7</w:t>
            </w:r>
          </w:p>
        </w:tc>
        <w:tc>
          <w:tcPr>
            <w:tcW w:w="789" w:type="dxa"/>
            <w:tcBorders>
              <w:bottom w:val="single" w:sz="4" w:space="0" w:color="000000"/>
              <w:right w:val="single" w:sz="4" w:space="0" w:color="000000"/>
            </w:tcBorders>
            <w:vAlign w:val="center"/>
          </w:tcPr>
          <w:p>
            <w:pPr>
              <w:pStyle w:val="Normal"/>
              <w:widowControl w:val="false"/>
              <w:numPr>
                <w:ilvl w:val="0"/>
                <w:numId w:val="0"/>
              </w:numPr>
              <w:ind w:hanging="0" w:left="0" w:right="170"/>
              <w:outlineLvl w:val="0"/>
              <w:rPr>
                <w:color w:val="000000"/>
                <w:sz w:val="18"/>
                <w:szCs w:val="18"/>
              </w:rPr>
            </w:pPr>
            <w:r>
              <w:rPr>
                <w:color w:val="000000"/>
                <w:sz w:val="18"/>
                <w:szCs w:val="18"/>
              </w:rPr>
              <w:t>99.4</w:t>
            </w:r>
          </w:p>
        </w:tc>
      </w:tr>
      <w:tr>
        <w:trPr>
          <w:trHeight w:val="567" w:hRule="atLeast"/>
        </w:trPr>
        <w:tc>
          <w:tcPr>
            <w:tcW w:w="1361" w:type="dxa"/>
            <w:tcBorders>
              <w:left w:val="single" w:sz="4" w:space="0" w:color="000000"/>
              <w:bottom w:val="single" w:sz="4" w:space="0" w:color="000000"/>
              <w:right w:val="single" w:sz="4" w:space="0" w:color="000000"/>
            </w:tcBorders>
            <w:vAlign w:val="center"/>
          </w:tcPr>
          <w:p>
            <w:pPr>
              <w:pStyle w:val="Normal"/>
              <w:widowControl w:val="false"/>
              <w:numPr>
                <w:ilvl w:val="0"/>
                <w:numId w:val="0"/>
              </w:numPr>
              <w:suppressAutoHyphens w:val="true"/>
              <w:bidi w:val="0"/>
              <w:spacing w:before="0" w:after="0"/>
              <w:ind w:hanging="0" w:left="0" w:right="170"/>
              <w:jc w:val="left"/>
              <w:outlineLvl w:val="1"/>
              <w:rPr>
                <w:b/>
                <w:bCs/>
                <w:color w:val="000000"/>
                <w:sz w:val="18"/>
                <w:szCs w:val="18"/>
              </w:rPr>
            </w:pPr>
            <w:r>
              <w:rPr>
                <w:b/>
                <w:bCs/>
                <w:color w:val="000000"/>
                <w:sz w:val="18"/>
                <w:szCs w:val="18"/>
              </w:rPr>
              <w:t>Итого</w:t>
            </w:r>
          </w:p>
        </w:tc>
        <w:tc>
          <w:tcPr>
            <w:tcW w:w="907" w:type="dxa"/>
            <w:tcBorders>
              <w:bottom w:val="single" w:sz="4" w:space="0" w:color="000000"/>
              <w:right w:val="single" w:sz="4" w:space="0" w:color="000000"/>
            </w:tcBorders>
            <w:vAlign w:val="center"/>
          </w:tcPr>
          <w:p>
            <w:pPr>
              <w:pStyle w:val="Normal"/>
              <w:widowControl w:val="false"/>
              <w:numPr>
                <w:ilvl w:val="0"/>
                <w:numId w:val="0"/>
              </w:numPr>
              <w:ind w:firstLine="57" w:left="0" w:right="-113"/>
              <w:outlineLvl w:val="1"/>
              <w:rPr>
                <w:b/>
                <w:bCs/>
                <w:color w:val="000000"/>
                <w:sz w:val="18"/>
                <w:szCs w:val="18"/>
              </w:rPr>
            </w:pPr>
            <w:r>
              <w:rPr>
                <w:b/>
                <w:bCs/>
                <w:color w:val="000000"/>
                <w:sz w:val="18"/>
                <w:szCs w:val="18"/>
              </w:rPr>
              <w:t>130 652,5</w:t>
            </w:r>
          </w:p>
        </w:tc>
        <w:tc>
          <w:tcPr>
            <w:tcW w:w="850" w:type="dxa"/>
            <w:tcBorders>
              <w:bottom w:val="single" w:sz="4" w:space="0" w:color="000000"/>
              <w:right w:val="single" w:sz="4" w:space="0" w:color="000000"/>
            </w:tcBorders>
            <w:vAlign w:val="center"/>
          </w:tcPr>
          <w:p>
            <w:pPr>
              <w:pStyle w:val="Normal"/>
              <w:widowControl w:val="false"/>
              <w:numPr>
                <w:ilvl w:val="0"/>
                <w:numId w:val="0"/>
              </w:numPr>
              <w:ind w:hanging="0" w:left="0" w:right="0"/>
              <w:outlineLvl w:val="1"/>
              <w:rPr>
                <w:b/>
                <w:bCs/>
                <w:color w:val="000000"/>
                <w:sz w:val="18"/>
                <w:szCs w:val="18"/>
              </w:rPr>
            </w:pPr>
            <w:r>
              <w:rPr>
                <w:b/>
                <w:bCs/>
                <w:color w:val="000000"/>
                <w:sz w:val="18"/>
                <w:szCs w:val="18"/>
              </w:rPr>
              <w:t>3 885,2</w:t>
            </w:r>
          </w:p>
        </w:tc>
        <w:tc>
          <w:tcPr>
            <w:tcW w:w="1018" w:type="dxa"/>
            <w:tcBorders>
              <w:bottom w:val="single" w:sz="4" w:space="0" w:color="000000"/>
              <w:right w:val="single" w:sz="4" w:space="0" w:color="000000"/>
            </w:tcBorders>
            <w:vAlign w:val="center"/>
          </w:tcPr>
          <w:p>
            <w:pPr>
              <w:pStyle w:val="Normal"/>
              <w:widowControl w:val="false"/>
              <w:numPr>
                <w:ilvl w:val="0"/>
                <w:numId w:val="0"/>
              </w:numPr>
              <w:ind w:hanging="0" w:left="0" w:right="-113"/>
              <w:outlineLvl w:val="1"/>
              <w:rPr>
                <w:b/>
                <w:bCs/>
                <w:color w:val="000000"/>
                <w:sz w:val="18"/>
                <w:szCs w:val="18"/>
              </w:rPr>
            </w:pPr>
            <w:r>
              <w:rPr>
                <w:b/>
                <w:bCs/>
                <w:color w:val="000000"/>
                <w:sz w:val="18"/>
                <w:szCs w:val="18"/>
              </w:rPr>
              <w:t>14 349, 0</w:t>
            </w:r>
          </w:p>
        </w:tc>
        <w:tc>
          <w:tcPr>
            <w:tcW w:w="1027" w:type="dxa"/>
            <w:tcBorders>
              <w:bottom w:val="single" w:sz="4" w:space="0" w:color="000000"/>
              <w:right w:val="single" w:sz="4" w:space="0" w:color="000000"/>
            </w:tcBorders>
            <w:vAlign w:val="center"/>
          </w:tcPr>
          <w:p>
            <w:pPr>
              <w:pStyle w:val="Normal"/>
              <w:widowControl w:val="false"/>
              <w:numPr>
                <w:ilvl w:val="0"/>
                <w:numId w:val="0"/>
              </w:numPr>
              <w:ind w:hanging="0" w:left="0" w:right="-57"/>
              <w:outlineLvl w:val="1"/>
              <w:rPr>
                <w:b/>
                <w:bCs/>
                <w:color w:val="000000"/>
                <w:sz w:val="18"/>
                <w:szCs w:val="18"/>
              </w:rPr>
            </w:pPr>
            <w:r>
              <w:rPr>
                <w:b/>
                <w:bCs/>
                <w:color w:val="000000"/>
                <w:sz w:val="18"/>
                <w:szCs w:val="18"/>
              </w:rPr>
              <w:t>112 418,3</w:t>
            </w:r>
          </w:p>
        </w:tc>
        <w:tc>
          <w:tcPr>
            <w:tcW w:w="1073" w:type="dxa"/>
            <w:tcBorders>
              <w:bottom w:val="single" w:sz="4" w:space="0" w:color="000000"/>
              <w:right w:val="single" w:sz="4" w:space="0" w:color="000000"/>
            </w:tcBorders>
            <w:vAlign w:val="center"/>
          </w:tcPr>
          <w:p>
            <w:pPr>
              <w:pStyle w:val="Normal"/>
              <w:widowControl w:val="false"/>
              <w:numPr>
                <w:ilvl w:val="0"/>
                <w:numId w:val="0"/>
              </w:numPr>
              <w:ind w:hanging="0" w:left="0" w:right="57"/>
              <w:outlineLvl w:val="1"/>
              <w:rPr>
                <w:b/>
                <w:bCs/>
                <w:color w:val="000000"/>
                <w:sz w:val="18"/>
                <w:szCs w:val="18"/>
              </w:rPr>
            </w:pPr>
            <w:r>
              <w:rPr>
                <w:b/>
                <w:bCs/>
                <w:color w:val="000000"/>
                <w:sz w:val="18"/>
                <w:szCs w:val="18"/>
              </w:rPr>
              <w:t>129 983, 1</w:t>
            </w:r>
          </w:p>
        </w:tc>
        <w:tc>
          <w:tcPr>
            <w:tcW w:w="912" w:type="dxa"/>
            <w:tcBorders>
              <w:bottom w:val="single" w:sz="4" w:space="0" w:color="000000"/>
              <w:right w:val="single" w:sz="4" w:space="0" w:color="000000"/>
            </w:tcBorders>
            <w:vAlign w:val="center"/>
          </w:tcPr>
          <w:p>
            <w:pPr>
              <w:pStyle w:val="Normal"/>
              <w:widowControl w:val="false"/>
              <w:numPr>
                <w:ilvl w:val="0"/>
                <w:numId w:val="0"/>
              </w:numPr>
              <w:ind w:hanging="0" w:left="0" w:right="-57"/>
              <w:outlineLvl w:val="1"/>
              <w:rPr>
                <w:b/>
                <w:bCs/>
                <w:color w:val="000000"/>
                <w:sz w:val="18"/>
                <w:szCs w:val="18"/>
              </w:rPr>
            </w:pPr>
            <w:r>
              <w:rPr>
                <w:b/>
                <w:bCs/>
                <w:color w:val="000000"/>
                <w:sz w:val="18"/>
                <w:szCs w:val="18"/>
              </w:rPr>
              <w:t>3 858,0</w:t>
            </w:r>
          </w:p>
        </w:tc>
        <w:tc>
          <w:tcPr>
            <w:tcW w:w="963" w:type="dxa"/>
            <w:tcBorders>
              <w:bottom w:val="single" w:sz="4" w:space="0" w:color="000000"/>
              <w:right w:val="single" w:sz="4" w:space="0" w:color="000000"/>
            </w:tcBorders>
            <w:vAlign w:val="center"/>
          </w:tcPr>
          <w:p>
            <w:pPr>
              <w:pStyle w:val="Normal"/>
              <w:widowControl w:val="false"/>
              <w:numPr>
                <w:ilvl w:val="0"/>
                <w:numId w:val="0"/>
              </w:numPr>
              <w:ind w:hanging="0" w:left="0" w:right="-57"/>
              <w:outlineLvl w:val="1"/>
              <w:rPr>
                <w:b/>
                <w:bCs/>
                <w:color w:val="000000"/>
                <w:sz w:val="18"/>
                <w:szCs w:val="18"/>
              </w:rPr>
            </w:pPr>
            <w:r>
              <w:rPr>
                <w:b/>
                <w:bCs/>
                <w:color w:val="000000"/>
                <w:sz w:val="18"/>
                <w:szCs w:val="18"/>
              </w:rPr>
              <w:t>14 269, 6</w:t>
            </w:r>
          </w:p>
        </w:tc>
        <w:tc>
          <w:tcPr>
            <w:tcW w:w="1020" w:type="dxa"/>
            <w:tcBorders>
              <w:bottom w:val="single" w:sz="4" w:space="0" w:color="000000"/>
              <w:right w:val="single" w:sz="4" w:space="0" w:color="000000"/>
            </w:tcBorders>
            <w:vAlign w:val="center"/>
          </w:tcPr>
          <w:p>
            <w:pPr>
              <w:pStyle w:val="Normal"/>
              <w:widowControl w:val="false"/>
              <w:numPr>
                <w:ilvl w:val="0"/>
                <w:numId w:val="0"/>
              </w:numPr>
              <w:tabs>
                <w:tab w:val="clear" w:pos="720"/>
                <w:tab w:val="left" w:pos="964" w:leader="none"/>
              </w:tabs>
              <w:ind w:firstLine="57" w:left="0" w:right="-113"/>
              <w:outlineLvl w:val="1"/>
              <w:rPr>
                <w:b/>
                <w:bCs/>
                <w:color w:val="000000"/>
                <w:sz w:val="18"/>
                <w:szCs w:val="18"/>
              </w:rPr>
            </w:pPr>
            <w:r>
              <w:rPr>
                <w:b/>
                <w:bCs/>
                <w:color w:val="000000"/>
                <w:sz w:val="18"/>
                <w:szCs w:val="18"/>
              </w:rPr>
              <w:t>111 855, 5</w:t>
            </w:r>
          </w:p>
        </w:tc>
        <w:tc>
          <w:tcPr>
            <w:tcW w:w="789" w:type="dxa"/>
            <w:tcBorders>
              <w:bottom w:val="single" w:sz="4" w:space="0" w:color="000000"/>
              <w:right w:val="single" w:sz="4" w:space="0" w:color="000000"/>
            </w:tcBorders>
            <w:vAlign w:val="center"/>
          </w:tcPr>
          <w:p>
            <w:pPr>
              <w:pStyle w:val="Normal"/>
              <w:widowControl w:val="false"/>
              <w:numPr>
                <w:ilvl w:val="0"/>
                <w:numId w:val="0"/>
              </w:numPr>
              <w:ind w:hanging="0" w:left="0" w:right="170"/>
              <w:outlineLvl w:val="1"/>
              <w:rPr>
                <w:b/>
                <w:bCs/>
                <w:color w:val="000000"/>
                <w:sz w:val="18"/>
                <w:szCs w:val="18"/>
              </w:rPr>
            </w:pPr>
            <w:r>
              <w:rPr>
                <w:b/>
                <w:bCs/>
                <w:color w:val="000000"/>
                <w:sz w:val="18"/>
                <w:szCs w:val="18"/>
              </w:rPr>
              <w:t>99.5</w:t>
            </w:r>
          </w:p>
        </w:tc>
      </w:tr>
    </w:tbl>
    <w:p>
      <w:pPr>
        <w:pStyle w:val="Normal"/>
        <w:ind w:firstLine="709" w:right="0"/>
        <w:jc w:val="right"/>
        <w:rPr>
          <w:sz w:val="25"/>
          <w:szCs w:val="25"/>
        </w:rPr>
      </w:pPr>
      <w:r>
        <w:rPr>
          <w:sz w:val="25"/>
          <w:szCs w:val="25"/>
        </w:rPr>
      </w:r>
    </w:p>
    <w:p>
      <w:pPr>
        <w:pStyle w:val="Normal"/>
        <w:ind w:firstLine="709" w:right="0"/>
        <w:jc w:val="right"/>
        <w:rPr>
          <w:sz w:val="25"/>
          <w:szCs w:val="25"/>
        </w:rPr>
      </w:pPr>
      <w:r>
        <w:rPr>
          <w:sz w:val="25"/>
          <w:szCs w:val="25"/>
        </w:rPr>
      </w:r>
    </w:p>
    <w:p>
      <w:pPr>
        <w:pStyle w:val="Normal"/>
        <w:overflowPunct w:val="true"/>
        <w:ind w:hanging="0" w:left="57" w:right="170"/>
        <w:rPr/>
      </w:pPr>
      <w:r>
        <w:rPr>
          <w:color w:val="000000"/>
          <w:sz w:val="25"/>
          <w:szCs w:val="25"/>
        </w:rPr>
        <w:t xml:space="preserve">      </w:t>
      </w:r>
      <w:r>
        <w:rPr>
          <w:color w:val="000000"/>
          <w:sz w:val="25"/>
          <w:szCs w:val="25"/>
        </w:rPr>
        <w:t>Финансовое обеспечение национальных (региональных) проектов на 01.01.2026 года за счет средств федерального бюджета составило в сумме 111 855,5 тыс. руб. (86,0% от общего объема), областного бюджета в сумме 14 269,6 тыс. руб. (11,0% от общего объема), местного бюджета в сумме 3 858,0 тыс. руб. (3,0% от общего объема).</w:t>
      </w:r>
    </w:p>
    <w:p>
      <w:pPr>
        <w:pStyle w:val="Normal"/>
        <w:overflowPunct w:val="true"/>
        <w:ind w:hanging="0" w:left="57" w:right="170"/>
        <w:rPr/>
      </w:pPr>
      <w:r>
        <w:rPr>
          <w:color w:val="000000"/>
          <w:sz w:val="25"/>
          <w:szCs w:val="25"/>
        </w:rPr>
        <w:t xml:space="preserve">        </w:t>
      </w:r>
      <w:r>
        <w:rPr>
          <w:color w:val="000000"/>
          <w:sz w:val="25"/>
          <w:szCs w:val="25"/>
        </w:rPr>
        <w:t xml:space="preserve">Реализация Регионального проекта </w:t>
      </w:r>
      <w:r>
        <w:rPr>
          <w:color w:val="000000"/>
        </w:rPr>
        <w:t>"Педагоги и наставники"</w:t>
      </w:r>
      <w:r>
        <w:rPr>
          <w:color w:val="000000"/>
          <w:sz w:val="25"/>
          <w:szCs w:val="25"/>
        </w:rPr>
        <w:t xml:space="preserve">, </w:t>
      </w:r>
      <w:r>
        <w:rPr>
          <w:color w:val="000000"/>
          <w:sz w:val="25"/>
          <w:szCs w:val="25"/>
          <w:shd w:fill="FFFFFF" w:val="clear"/>
        </w:rPr>
        <w:t>направленного</w:t>
      </w:r>
      <w:r>
        <w:rPr>
          <w:rFonts w:eastAsia="Calibri"/>
          <w:color w:val="000000"/>
          <w:sz w:val="25"/>
          <w:szCs w:val="25"/>
          <w:lang w:eastAsia="en-US"/>
        </w:rPr>
        <w:t xml:space="preserve"> </w:t>
      </w:r>
      <w:r>
        <w:rPr>
          <w:rFonts w:eastAsia="Calibri"/>
          <w:b/>
          <w:bCs/>
          <w:color w:val="000000"/>
          <w:sz w:val="25"/>
          <w:szCs w:val="25"/>
          <w:lang w:eastAsia="en-US"/>
        </w:rPr>
        <w:t xml:space="preserve"> </w:t>
      </w:r>
      <w:r>
        <w:rPr>
          <w:rFonts w:eastAsia="Calibri"/>
          <w:color w:val="000000"/>
          <w:lang w:eastAsia="en-US"/>
        </w:rPr>
        <w:t>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pPr>
        <w:pStyle w:val="Normal"/>
        <w:overflowPunct w:val="true"/>
        <w:ind w:firstLine="567" w:left="57" w:right="170"/>
        <w:rPr/>
      </w:pPr>
      <w:r>
        <w:rPr>
          <w:color w:val="000000"/>
          <w:sz w:val="25"/>
          <w:szCs w:val="25"/>
          <w:shd w:fill="FFFFFF" w:val="clear"/>
        </w:rPr>
        <w:t xml:space="preserve">При реализации Регионального проекта </w:t>
      </w:r>
      <w:r>
        <w:rPr>
          <w:color w:val="000000"/>
          <w:shd w:fill="FFFFFF" w:val="clear"/>
        </w:rPr>
        <w:t>"Педагоги и наставники"</w:t>
      </w:r>
      <w:r>
        <w:rPr>
          <w:color w:val="000000"/>
          <w:sz w:val="25"/>
          <w:szCs w:val="25"/>
          <w:shd w:fill="FFFFFF" w:val="clear"/>
        </w:rPr>
        <w:t xml:space="preserve"> проведены расходы  на </w:t>
      </w:r>
      <w:r>
        <w:rPr>
          <w:color w:val="000000"/>
          <w:shd w:fill="FFFFFF" w:val="clear"/>
        </w:rPr>
        <w:t>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r>
        <w:rPr>
          <w:color w:val="000000"/>
          <w:sz w:val="18"/>
          <w:szCs w:val="18"/>
          <w:shd w:fill="FFFFFF" w:val="clear"/>
        </w:rPr>
        <w:t xml:space="preserve"> </w:t>
      </w:r>
      <w:r>
        <w:rPr>
          <w:color w:val="000000"/>
          <w:shd w:fill="FFFFFF" w:val="clear"/>
        </w:rPr>
        <w:t xml:space="preserve">Иркутской области </w:t>
      </w:r>
      <w:r>
        <w:rPr>
          <w:color w:val="000000"/>
          <w:sz w:val="25"/>
          <w:szCs w:val="25"/>
        </w:rPr>
        <w:t>в сумме 2 300,0 тыс. руб.;</w:t>
      </w:r>
      <w:r>
        <w:rPr>
          <w:b/>
          <w:bCs/>
          <w:color w:val="000000"/>
          <w:sz w:val="25"/>
          <w:szCs w:val="25"/>
        </w:rPr>
        <w:t xml:space="preserve"> </w:t>
      </w:r>
      <w:r>
        <w:rPr>
          <w:color w:val="000000"/>
        </w:rPr>
        <w:t xml:space="preserve">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 в сумме 6 810,0 тыс.руб.; </w:t>
      </w:r>
      <w:r>
        <w:rPr>
          <w:rFonts w:eastAsia="Calibri"/>
          <w:color w:val="000000"/>
          <w:lang w:eastAsia="en-US"/>
        </w:rPr>
        <w:t>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сумме 63 961, 8 тыс.руб.</w:t>
      </w:r>
    </w:p>
    <w:p>
      <w:pPr>
        <w:pStyle w:val="Normal"/>
        <w:overflowPunct w:val="true"/>
        <w:ind w:firstLine="397" w:left="57" w:right="170"/>
        <w:rPr/>
      </w:pPr>
      <w:r>
        <w:rPr>
          <w:color w:val="000000"/>
          <w:sz w:val="25"/>
          <w:szCs w:val="25"/>
          <w:shd w:fill="FFFFFF" w:val="clear"/>
        </w:rPr>
        <w:t xml:space="preserve"> </w:t>
      </w:r>
      <w:r>
        <w:rPr>
          <w:color w:val="000000"/>
          <w:sz w:val="25"/>
          <w:szCs w:val="25"/>
          <w:shd w:fill="FFFFFF" w:val="clear"/>
        </w:rPr>
        <w:t>Реализация Регионального проекта « Все лучшее детям», направлена на о</w:t>
      </w:r>
      <w:r>
        <w:rPr>
          <w:color w:val="000000"/>
          <w:shd w:fill="FFFFFF" w:val="clear"/>
        </w:rPr>
        <w:t>снащение предметных кабинетов  общеобразовательных организаций средствами обучения и воспитания; на реализация мероприятий по модернизации школьных систем образования (объекты капитального ремонта, по которым решение о предоставлении субсидии принято до отчетного финансового года).</w:t>
      </w:r>
    </w:p>
    <w:p>
      <w:pPr>
        <w:pStyle w:val="Normal"/>
        <w:overflowPunct w:val="true"/>
        <w:ind w:hanging="0" w:left="57" w:right="170"/>
        <w:rPr/>
      </w:pPr>
      <w:r>
        <w:rPr>
          <w:color w:val="000000"/>
          <w:sz w:val="25"/>
          <w:szCs w:val="25"/>
          <w:shd w:fill="FFFFFF" w:val="clear"/>
        </w:rPr>
        <w:t xml:space="preserve"> </w:t>
      </w:r>
      <w:r>
        <w:rPr>
          <w:color w:val="000000"/>
          <w:sz w:val="25"/>
          <w:szCs w:val="25"/>
          <w:shd w:fill="FFFFFF" w:val="clear"/>
        </w:rPr>
        <w:t xml:space="preserve">При реализации Регионального проекта « Все лучшее детям» </w:t>
      </w:r>
      <w:r>
        <w:rPr>
          <w:sz w:val="25"/>
          <w:szCs w:val="25"/>
        </w:rPr>
        <w:t xml:space="preserve">проведены расходы </w:t>
      </w:r>
      <w:r>
        <w:rPr>
          <w:color w:val="000000"/>
          <w:sz w:val="25"/>
          <w:szCs w:val="25"/>
          <w:shd w:fill="FFFFFF" w:val="clear"/>
        </w:rPr>
        <w:t>на о</w:t>
      </w:r>
      <w:r>
        <w:rPr>
          <w:color w:val="000000"/>
          <w:shd w:fill="FFFFFF" w:val="clear"/>
        </w:rPr>
        <w:t>снащение предметных кабинетов  общеобразовательных организаций средствами обучения и воспитания</w:t>
      </w:r>
      <w:r>
        <w:rPr>
          <w:sz w:val="25"/>
          <w:szCs w:val="25"/>
        </w:rPr>
        <w:t xml:space="preserve"> в сумме 1 798,8 тыс. руб.,  на проведение капитального ремонта и приобретение учебного оборудования для МОУ «Шерагульская СОШ» в сумме 55 112,5 тыс. руб.</w:t>
      </w:r>
    </w:p>
    <w:p>
      <w:pPr>
        <w:pStyle w:val="Normal"/>
        <w:ind w:hanging="0" w:right="170"/>
        <w:rPr>
          <w:color w:val="000000"/>
          <w:sz w:val="25"/>
          <w:szCs w:val="25"/>
        </w:rPr>
      </w:pPr>
      <w:r>
        <w:rPr>
          <w:color w:val="000000"/>
          <w:sz w:val="25"/>
          <w:szCs w:val="25"/>
        </w:rPr>
        <w:t xml:space="preserve"> </w:t>
      </w:r>
    </w:p>
    <w:p>
      <w:pPr>
        <w:pStyle w:val="Normal"/>
        <w:tabs>
          <w:tab w:val="clear" w:pos="720"/>
          <w:tab w:val="left" w:pos="709" w:leader="none"/>
          <w:tab w:val="left" w:pos="1080" w:leader="none"/>
        </w:tabs>
        <w:jc w:val="center"/>
        <w:rPr>
          <w:b/>
          <w:sz w:val="25"/>
          <w:szCs w:val="25"/>
        </w:rPr>
      </w:pPr>
      <w:r>
        <w:rPr>
          <w:b/>
          <w:sz w:val="25"/>
          <w:szCs w:val="25"/>
        </w:rPr>
        <w:t>10. Дефицит местного бюджета и источники его финансирования.</w:t>
      </w:r>
    </w:p>
    <w:p>
      <w:pPr>
        <w:pStyle w:val="Normal"/>
        <w:tabs>
          <w:tab w:val="clear" w:pos="720"/>
          <w:tab w:val="left" w:pos="709" w:leader="none"/>
          <w:tab w:val="left" w:pos="1080" w:leader="none"/>
        </w:tabs>
        <w:jc w:val="center"/>
        <w:rPr>
          <w:b/>
          <w:sz w:val="25"/>
          <w:szCs w:val="25"/>
        </w:rPr>
      </w:pPr>
      <w:r>
        <w:rPr>
          <w:b/>
          <w:sz w:val="25"/>
          <w:szCs w:val="25"/>
        </w:rPr>
      </w:r>
    </w:p>
    <w:p>
      <w:pPr>
        <w:pStyle w:val="Normal"/>
        <w:tabs>
          <w:tab w:val="clear" w:pos="720"/>
          <w:tab w:val="left" w:pos="709" w:leader="none"/>
          <w:tab w:val="left" w:pos="1080" w:leader="none"/>
        </w:tabs>
        <w:ind w:hanging="0" w:right="0"/>
        <w:rPr/>
      </w:pPr>
      <w:r>
        <w:rPr>
          <w:sz w:val="25"/>
          <w:szCs w:val="25"/>
        </w:rPr>
        <w:t xml:space="preserve">        </w:t>
      </w:r>
      <w:r>
        <w:rPr>
          <w:sz w:val="25"/>
          <w:szCs w:val="25"/>
        </w:rPr>
        <w:tab/>
        <w:t xml:space="preserve">В окончательном варианте уточненного бюджета района, согласно решения Думы Тулунского муниципального района от 23.12.2025г. №219 «О внесении изменений в решение Думы Тулунского муниципального района от 24.12.2024г. №121 «О бюджете Тулунского муниципального района на 2025 год и на плановый период 2026 и 2027 годов»,  утвержден размер дефицита районного бюджета в сумме 25 455,8 тыс. руб. или 7,9% </w:t>
      </w:r>
      <w:r>
        <w:rPr>
          <w:sz w:val="25"/>
          <w:szCs w:val="25"/>
          <w:shd w:fill="FFFFFF" w:val="clear"/>
        </w:rPr>
        <w:t xml:space="preserve">к годовому объему доходов, без учета безвозмездных поступлений. Утвержденный объем дефицита соответствует ограничениям, установленным п.3 ст.92.1 </w:t>
      </w:r>
      <w:r>
        <w:rPr>
          <w:color w:val="1A1A1A"/>
          <w:sz w:val="25"/>
          <w:szCs w:val="25"/>
        </w:rPr>
        <w:t>Бюджетного кодекса Российской Федерации.</w:t>
      </w:r>
    </w:p>
    <w:p>
      <w:pPr>
        <w:pStyle w:val="Normal"/>
        <w:ind w:firstLine="709" w:right="176"/>
        <w:rPr>
          <w:sz w:val="25"/>
          <w:szCs w:val="25"/>
        </w:rPr>
      </w:pPr>
      <w:r>
        <w:rPr>
          <w:sz w:val="25"/>
          <w:szCs w:val="25"/>
        </w:rPr>
        <w:t>Дефицит бюджета района по отчету ф. № 0503117 по разделу 3 «Источники финансирования дефицита бюджета) по графе 4 «Утвержденные бюджетные назначения» отражен в сумме 25 455 782,14  рублей, что соответствует решению  Думы Тулунского муниципального района от 23.12.2025г. №219 «О внесении изменений в решение Думы Тулунского муниципального района от 24.12.2024г. №121 «О бюджете Тулунского муниципального района на 2025 год и на плановый период 2026 и 2027 годов»</w:t>
      </w:r>
    </w:p>
    <w:p>
      <w:pPr>
        <w:pStyle w:val="Normal"/>
        <w:tabs>
          <w:tab w:val="clear" w:pos="720"/>
          <w:tab w:val="left" w:pos="709" w:leader="none"/>
        </w:tabs>
        <w:rPr>
          <w:sz w:val="25"/>
          <w:szCs w:val="25"/>
        </w:rPr>
      </w:pPr>
      <w:r>
        <w:rPr>
          <w:sz w:val="25"/>
          <w:szCs w:val="25"/>
        </w:rPr>
        <w:t xml:space="preserve">  </w:t>
      </w:r>
      <w:r>
        <w:rPr>
          <w:sz w:val="25"/>
          <w:szCs w:val="25"/>
        </w:rPr>
        <w:tab/>
        <w:t xml:space="preserve">Согласно отчета об исполнении бюджета за 2025 год </w:t>
      </w:r>
      <w:r>
        <w:rPr>
          <w:color w:val="1A1A1A"/>
          <w:sz w:val="25"/>
          <w:szCs w:val="25"/>
        </w:rPr>
        <w:t>ф. № 0503117</w:t>
      </w:r>
      <w:r>
        <w:rPr>
          <w:sz w:val="25"/>
          <w:szCs w:val="25"/>
        </w:rPr>
        <w:t xml:space="preserve">, достоверность которого подтверждена Отчетом Управления Федерального казначейства по Иркутской области по поступлениям и выбытиям ф. № 0503151, бюджет Тулунского муниципального района исполнен с профицитом . </w:t>
      </w:r>
      <w:r>
        <w:rPr>
          <w:color w:val="000000"/>
          <w:sz w:val="25"/>
          <w:szCs w:val="25"/>
        </w:rPr>
        <w:t>Пр</w:t>
      </w:r>
      <w:r>
        <w:rPr>
          <w:color w:val="000000"/>
          <w:sz w:val="25"/>
          <w:szCs w:val="25"/>
          <w:shd w:fill="FFFFFF" w:val="clear"/>
        </w:rPr>
        <w:t xml:space="preserve">евышение доходов бюджета над его расходами  составило </w:t>
      </w:r>
      <w:r>
        <w:rPr>
          <w:sz w:val="25"/>
          <w:szCs w:val="25"/>
        </w:rPr>
        <w:t>в сумме 685,3</w:t>
      </w:r>
      <w:r>
        <w:rPr>
          <w:b/>
          <w:sz w:val="25"/>
          <w:szCs w:val="25"/>
        </w:rPr>
        <w:t xml:space="preserve"> </w:t>
      </w:r>
      <w:r>
        <w:rPr>
          <w:sz w:val="25"/>
          <w:szCs w:val="25"/>
        </w:rPr>
        <w:t>тыс. руб.</w:t>
      </w:r>
    </w:p>
    <w:p>
      <w:pPr>
        <w:pStyle w:val="Normal"/>
        <w:tabs>
          <w:tab w:val="clear" w:pos="720"/>
          <w:tab w:val="left" w:pos="709" w:leader="none"/>
        </w:tabs>
        <w:rPr>
          <w:color w:val="000000"/>
          <w:sz w:val="25"/>
          <w:szCs w:val="25"/>
          <w:shd w:fill="FFFFFF" w:val="clear"/>
        </w:rPr>
      </w:pPr>
      <w:r>
        <w:rPr>
          <w:color w:val="000000"/>
          <w:sz w:val="25"/>
          <w:szCs w:val="25"/>
          <w:shd w:fill="FFFFFF" w:val="clear"/>
        </w:rPr>
      </w:r>
    </w:p>
    <w:p>
      <w:pPr>
        <w:pStyle w:val="Normal"/>
        <w:tabs>
          <w:tab w:val="clear" w:pos="720"/>
          <w:tab w:val="left" w:pos="709" w:leader="none"/>
          <w:tab w:val="left" w:pos="1080" w:leader="none"/>
        </w:tabs>
        <w:ind w:hanging="0" w:right="0"/>
        <w:jc w:val="center"/>
        <w:rPr>
          <w:b/>
          <w:sz w:val="25"/>
          <w:szCs w:val="25"/>
        </w:rPr>
      </w:pPr>
      <w:r>
        <w:rPr>
          <w:b/>
          <w:sz w:val="25"/>
          <w:szCs w:val="25"/>
        </w:rPr>
        <w:t>11. Муниципальный долг, расходы на обслуживание муниципального долга.</w:t>
      </w:r>
    </w:p>
    <w:p>
      <w:pPr>
        <w:pStyle w:val="Normal"/>
        <w:tabs>
          <w:tab w:val="clear" w:pos="720"/>
          <w:tab w:val="left" w:pos="709" w:leader="none"/>
          <w:tab w:val="left" w:pos="1080" w:leader="none"/>
        </w:tabs>
        <w:jc w:val="center"/>
        <w:rPr>
          <w:sz w:val="25"/>
          <w:szCs w:val="25"/>
        </w:rPr>
      </w:pPr>
      <w:r>
        <w:rPr>
          <w:sz w:val="25"/>
          <w:szCs w:val="25"/>
        </w:rPr>
      </w:r>
    </w:p>
    <w:p>
      <w:pPr>
        <w:pStyle w:val="Normal"/>
        <w:ind w:firstLine="340" w:right="170"/>
        <w:rPr/>
      </w:pPr>
      <w:r>
        <w:rPr>
          <w:sz w:val="25"/>
          <w:szCs w:val="25"/>
        </w:rPr>
        <w:t>Программа муниципальных внутренних заимствований Тулунского муниципального  района на 2025 год утверждена в соответствии со ст.110.1 Бюджетного кодекса РФ в приложении №16 к решению Думы Тулунского муниципального района от 24.12.2024г. №121 «О бюджете Тулунского муниципального района на 2025 год и на плановый период 2026 и 2027 годов» (с изменениями)</w:t>
      </w:r>
      <w:r>
        <w:rPr>
          <w:b/>
          <w:sz w:val="25"/>
          <w:szCs w:val="25"/>
        </w:rPr>
        <w:t xml:space="preserve">. </w:t>
      </w:r>
      <w:r>
        <w:rPr>
          <w:sz w:val="25"/>
          <w:szCs w:val="25"/>
        </w:rPr>
        <w:t xml:space="preserve">Утвержденной программой  предусматривается объем привлечения кредитов, полученные от кредитных организаций на 2025 год в сумме 6 671,1 тыс. руб.; привлечение бюджетных кредитов из областного бюджета в сумме 20 068,0 тыс. руб.;  погашения бюджетного кредита, предоставленного  из областного бюджета, в сумме  5 033,0 тыс. руб. </w:t>
      </w:r>
    </w:p>
    <w:p>
      <w:pPr>
        <w:pStyle w:val="Normal"/>
        <w:ind w:hanging="0" w:right="176"/>
        <w:rPr>
          <w:sz w:val="25"/>
          <w:szCs w:val="25"/>
        </w:rPr>
      </w:pPr>
      <w:r>
        <w:rPr>
          <w:sz w:val="25"/>
          <w:szCs w:val="25"/>
        </w:rPr>
        <w:t xml:space="preserve">     </w:t>
      </w:r>
      <w:r>
        <w:rPr>
          <w:sz w:val="25"/>
          <w:szCs w:val="25"/>
        </w:rPr>
        <w:t>Верхний предел муниципального долга по состоянию на 01.01.2026г. установлен в размере 26 739,1тыс. руб., в том числе верхний предел по муниципальным гарантиям 0 тыс. руб.</w:t>
      </w:r>
    </w:p>
    <w:p>
      <w:pPr>
        <w:pStyle w:val="Normal"/>
        <w:ind w:hanging="0" w:right="176"/>
        <w:rPr/>
      </w:pPr>
      <w:r>
        <w:rPr>
          <w:sz w:val="25"/>
          <w:szCs w:val="25"/>
        </w:rPr>
        <w:t xml:space="preserve">   </w:t>
      </w:r>
      <w:r>
        <w:rPr>
          <w:sz w:val="25"/>
          <w:szCs w:val="25"/>
        </w:rPr>
        <w:t xml:space="preserve">Расходы на обслуживание муниципального долга в окончательном варианте уточненного бюджета района, согласно сводной бюджетной росписи, утвержденной приказом Комитета по финансам администрации Тулунского муниципального района от </w:t>
      </w:r>
      <w:r>
        <w:rPr>
          <w:color w:val="302709"/>
          <w:sz w:val="25"/>
          <w:szCs w:val="25"/>
        </w:rPr>
        <w:t>25.12.2025г. №181(о.д.),  запланированы в сумме 112,0 тыс. руб. Расходы на обслуживание муниципального долга за 2025 год составили в сумме 15,5 тыс. руб.</w:t>
      </w:r>
      <w:r>
        <w:rPr>
          <w:rFonts w:ascii="YS Text;sans-serif" w:hAnsi="YS Text;sans-serif"/>
          <w:color w:val="34343C"/>
          <w:sz w:val="23"/>
          <w:szCs w:val="25"/>
        </w:rPr>
        <w:t xml:space="preserve">, </w:t>
      </w:r>
      <w:r>
        <w:rPr>
          <w:color w:val="34343C"/>
          <w:sz w:val="25"/>
          <w:szCs w:val="25"/>
        </w:rPr>
        <w:t xml:space="preserve">доля в общем объёме расходов бюджета, за исключением расходов, осуществляемых за счет субвенций, составила 0,002 %.Таким образом, ограничения, установленные ст.111 БК РФ, </w:t>
      </w:r>
      <w:r>
        <w:rPr>
          <w:color w:val="302709"/>
          <w:sz w:val="25"/>
          <w:szCs w:val="25"/>
        </w:rPr>
        <w:t>соблюдены.</w:t>
      </w:r>
    </w:p>
    <w:p>
      <w:pPr>
        <w:pStyle w:val="Normal"/>
        <w:ind w:firstLine="426" w:right="176"/>
        <w:rPr/>
      </w:pPr>
      <w:r>
        <w:rPr>
          <w:color w:val="302709"/>
          <w:sz w:val="25"/>
          <w:szCs w:val="25"/>
        </w:rPr>
        <w:t>По состоянию на 01.01.2026 го</w:t>
      </w:r>
      <w:r>
        <w:rPr>
          <w:sz w:val="25"/>
          <w:szCs w:val="25"/>
        </w:rPr>
        <w:t xml:space="preserve">да, согласно сведениям Долговой книги Тулунского муниципального района, </w:t>
      </w:r>
      <w:r>
        <w:rPr>
          <w:color w:val="000000"/>
          <w:sz w:val="25"/>
          <w:szCs w:val="25"/>
          <w:shd w:fill="FFFFFF" w:val="clear"/>
        </w:rPr>
        <w:t>муниципальный долг бюджета Тулунского муниципального района составляет 20 068,0 тыс. руб. В бюджет Тулунского муниципального района привлечен бюджетный кредит из областного бюджета в соответствии с договором о предоставлении бюджетного кредита</w:t>
      </w:r>
      <w:r>
        <w:rPr>
          <w:color w:val="000000"/>
          <w:sz w:val="25"/>
          <w:szCs w:val="25"/>
        </w:rPr>
        <w:t xml:space="preserve"> от 09.04.2025г. № 1.</w:t>
      </w:r>
    </w:p>
    <w:p>
      <w:pPr>
        <w:pStyle w:val="Title"/>
        <w:pBdr>
          <w:bottom w:val="nil"/>
        </w:pBdr>
        <w:spacing w:before="0" w:after="0"/>
        <w:ind w:firstLine="709" w:right="176"/>
        <w:contextualSpacing/>
        <w:rPr>
          <w:sz w:val="25"/>
          <w:szCs w:val="25"/>
        </w:rPr>
      </w:pPr>
      <w:r>
        <w:rPr>
          <w:rFonts w:eastAsia="Times New Roman" w:cs="Times New Roman" w:ascii="Times New Roman" w:hAnsi="Times New Roman"/>
          <w:color w:val="000000"/>
          <w:sz w:val="25"/>
          <w:szCs w:val="25"/>
        </w:rPr>
        <w:t>Администрацией Тулунского  муниципального района в 2025 году муниципальные гарантии предприятиям и организациям не предоставлялись, кредиты в кредитных организациях не оформлялись.</w:t>
      </w:r>
    </w:p>
    <w:p>
      <w:pPr>
        <w:pStyle w:val="Normal"/>
        <w:spacing w:before="0" w:after="0"/>
        <w:ind w:firstLine="709" w:right="176"/>
        <w:contextualSpacing/>
        <w:rPr>
          <w:color w:val="000000"/>
        </w:rPr>
      </w:pPr>
      <w:r>
        <w:rPr>
          <w:color w:val="000000"/>
        </w:rPr>
      </w:r>
    </w:p>
    <w:p>
      <w:pPr>
        <w:pStyle w:val="Normal"/>
        <w:ind w:firstLine="426" w:right="176"/>
        <w:rPr>
          <w:sz w:val="25"/>
          <w:szCs w:val="25"/>
        </w:rPr>
      </w:pPr>
      <w:r>
        <w:rPr>
          <w:sz w:val="25"/>
          <w:szCs w:val="25"/>
        </w:rPr>
        <w:t xml:space="preserve">    </w:t>
      </w:r>
    </w:p>
    <w:p>
      <w:pPr>
        <w:pStyle w:val="Normal"/>
        <w:ind w:hanging="0" w:right="176"/>
        <w:jc w:val="center"/>
        <w:rPr/>
      </w:pPr>
      <w:r>
        <w:rPr>
          <w:b/>
          <w:sz w:val="25"/>
          <w:szCs w:val="25"/>
        </w:rPr>
        <w:t>12. При проверке  состояния кредиторской и дебиторской задолженности, причин ее возникновения, установлено следующее:</w:t>
      </w:r>
    </w:p>
    <w:p>
      <w:pPr>
        <w:pStyle w:val="Normal"/>
        <w:ind w:hanging="0" w:right="176"/>
        <w:jc w:val="center"/>
        <w:rPr>
          <w:b/>
          <w:sz w:val="25"/>
          <w:szCs w:val="25"/>
        </w:rPr>
      </w:pPr>
      <w:r>
        <w:rPr>
          <w:b/>
          <w:sz w:val="25"/>
          <w:szCs w:val="25"/>
        </w:rPr>
      </w:r>
    </w:p>
    <w:p>
      <w:pPr>
        <w:pStyle w:val="Normal"/>
        <w:ind w:hanging="0" w:right="176"/>
        <w:rPr/>
      </w:pPr>
      <w:r>
        <w:rPr>
          <w:sz w:val="25"/>
          <w:szCs w:val="25"/>
        </w:rPr>
        <w:t xml:space="preserve">   </w:t>
      </w:r>
      <w:r>
        <w:rPr>
          <w:sz w:val="25"/>
          <w:szCs w:val="25"/>
        </w:rPr>
        <w:t xml:space="preserve">По состоянию на 01.01.2026 года по обязательствам бюджета Тулунского муниципального района сложилась  кредиторская задолженность в сумме </w:t>
      </w:r>
      <w:r>
        <w:rPr>
          <w:color w:val="000000"/>
          <w:sz w:val="25"/>
          <w:szCs w:val="25"/>
        </w:rPr>
        <w:t>51 595,2</w:t>
      </w:r>
      <w:r>
        <w:rPr>
          <w:sz w:val="25"/>
          <w:szCs w:val="25"/>
        </w:rPr>
        <w:t xml:space="preserve"> тыс. руб. По сравнению с началом года кредиторская задолженность увеличилась на 5 566,7 тыс. руб., или на 12,1%.</w:t>
      </w:r>
    </w:p>
    <w:p>
      <w:pPr>
        <w:pStyle w:val="Normal"/>
        <w:rPr>
          <w:color w:val="000000"/>
          <w:sz w:val="25"/>
          <w:szCs w:val="25"/>
        </w:rPr>
      </w:pPr>
      <w:r>
        <w:rPr>
          <w:color w:val="000000"/>
          <w:sz w:val="25"/>
          <w:szCs w:val="25"/>
        </w:rPr>
        <w:t>В том числе кредиторская задолженность сложилась из задолженности:</w:t>
      </w:r>
    </w:p>
    <w:p>
      <w:pPr>
        <w:pStyle w:val="Normal"/>
        <w:ind w:hanging="0" w:right="176"/>
        <w:rPr/>
      </w:pPr>
      <w:r>
        <w:rPr>
          <w:b/>
          <w:bCs/>
          <w:i/>
          <w:iCs/>
          <w:color w:val="000000"/>
        </w:rPr>
        <w:t>По  счету 1 205 00 000 «Расчеты по доходам» - 2 007,9 тыс. руб., из них основные суммы:</w:t>
      </w:r>
      <w:r>
        <w:rPr>
          <w:color w:val="000000"/>
          <w:sz w:val="25"/>
          <w:szCs w:val="25"/>
        </w:rPr>
        <w:t xml:space="preserve"> </w:t>
      </w:r>
    </w:p>
    <w:p>
      <w:pPr>
        <w:pStyle w:val="Normal"/>
        <w:rPr>
          <w:color w:val="000000"/>
          <w:sz w:val="25"/>
          <w:szCs w:val="25"/>
        </w:rPr>
      </w:pPr>
      <w:r>
        <w:rPr>
          <w:color w:val="000000"/>
          <w:sz w:val="25"/>
          <w:szCs w:val="25"/>
        </w:rPr>
        <w:t>- 1 205 23 000 "Расчеты по доходам от платежей при пользовании природными ресурсами" – 597,8  тыс. руб. - переплата по договорам аренды земельных участков;</w:t>
      </w:r>
    </w:p>
    <w:p>
      <w:pPr>
        <w:pStyle w:val="Normal"/>
        <w:rPr>
          <w:color w:val="000000"/>
          <w:sz w:val="25"/>
          <w:szCs w:val="25"/>
        </w:rPr>
      </w:pPr>
      <w:r>
        <w:rPr>
          <w:color w:val="000000"/>
          <w:sz w:val="25"/>
          <w:szCs w:val="25"/>
        </w:rPr>
        <w:t>- 1 205 31 000 "Расчеты с плательщиками доходов от оказания платных работ, услуг"   – 1 379,1 тыс. руб. - предоплата родительской платы на январь 2026г.</w:t>
      </w:r>
    </w:p>
    <w:p>
      <w:pPr>
        <w:pStyle w:val="Normal"/>
        <w:ind w:hanging="0" w:right="176"/>
        <w:rPr>
          <w:b/>
          <w:bCs/>
          <w:i/>
          <w:i/>
          <w:iCs/>
          <w:color w:val="000000"/>
          <w:sz w:val="25"/>
          <w:szCs w:val="25"/>
        </w:rPr>
      </w:pPr>
      <w:r>
        <w:rPr>
          <w:b/>
          <w:bCs/>
          <w:i/>
          <w:iCs/>
          <w:color w:val="000000"/>
          <w:sz w:val="25"/>
          <w:szCs w:val="25"/>
        </w:rPr>
        <w:t>По  счету 1 302 00 000 «Расчеты по принятым обязательствам» – 21 307,5 тыс. руб. ( в т.ч. просроченная – 5 899,6 тыс. руб.), из них основные суммы:</w:t>
      </w:r>
    </w:p>
    <w:p>
      <w:pPr>
        <w:pStyle w:val="Normal"/>
        <w:rPr>
          <w:color w:val="000000"/>
          <w:sz w:val="25"/>
          <w:szCs w:val="25"/>
        </w:rPr>
      </w:pPr>
      <w:r>
        <w:rPr>
          <w:color w:val="000000"/>
          <w:sz w:val="25"/>
          <w:szCs w:val="25"/>
        </w:rPr>
        <w:t>-  1 302 11 000 «Расчеты по заработной плате» – 13 671,8 тыс. руб. - не выплачена заработная плата за вторую половину  декабря 2025 г.;</w:t>
      </w:r>
    </w:p>
    <w:p>
      <w:pPr>
        <w:pStyle w:val="Normal"/>
        <w:rPr/>
      </w:pPr>
      <w:r>
        <w:rPr>
          <w:color w:val="000000"/>
          <w:sz w:val="25"/>
          <w:szCs w:val="25"/>
        </w:rPr>
        <w:t>-  1 302 23 000 «Расчеты по коммунальным услугам» – 629,7 тыс. руб. – задолженность по оплате договоров по коммунальным услугам</w:t>
      </w:r>
      <w:r>
        <w:rPr>
          <w:color w:val="000000"/>
          <w:sz w:val="25"/>
          <w:szCs w:val="25"/>
          <w:shd w:fill="FFFF00" w:val="clear"/>
        </w:rPr>
        <w:t xml:space="preserve">; </w:t>
      </w:r>
    </w:p>
    <w:p>
      <w:pPr>
        <w:pStyle w:val="Normal"/>
        <w:rPr>
          <w:color w:val="000000"/>
          <w:sz w:val="25"/>
          <w:szCs w:val="25"/>
        </w:rPr>
      </w:pPr>
      <w:r>
        <w:rPr>
          <w:color w:val="000000"/>
          <w:sz w:val="25"/>
          <w:szCs w:val="25"/>
        </w:rPr>
        <w:t>-  1 302 26 000 «Расчеты по прочим работам, услугам» – 349,4 тыс. руб. (в т.ч. просроченная -265,2 тыс. руб.) – задолженность за услуги по  охране имущества, за техническое обслуживание охранно -тревожной сигнализации, за курсы повышения сигнализации;</w:t>
      </w:r>
    </w:p>
    <w:p>
      <w:pPr>
        <w:pStyle w:val="Normal"/>
        <w:rPr>
          <w:color w:val="000000"/>
          <w:sz w:val="25"/>
          <w:szCs w:val="25"/>
        </w:rPr>
      </w:pPr>
      <w:r>
        <w:rPr>
          <w:color w:val="000000"/>
          <w:sz w:val="25"/>
          <w:szCs w:val="25"/>
        </w:rPr>
        <w:t>-  1 302 31 000 «Расчеты по приобретению основных средств» – 6 091,3 тыс. руб. (в т.ч. просроченная — 5 630,2 тыс. руб.) – задолженность за  приобретение оборудования для образовательных учреждений (основные средства), за орг.технику,учебную литературу;</w:t>
      </w:r>
    </w:p>
    <w:p>
      <w:pPr>
        <w:pStyle w:val="Normal"/>
        <w:rPr/>
      </w:pPr>
      <w:r>
        <w:rPr>
          <w:color w:val="000000"/>
          <w:sz w:val="25"/>
          <w:szCs w:val="25"/>
        </w:rPr>
        <w:t xml:space="preserve">- 1 302 34 000 «Расчеты по приобретению материальных запасов» – 430, 7тыс. руб. (в т. ч. просроченная — 4,2 тыс. руб.) - </w:t>
      </w:r>
      <w:r>
        <w:rPr>
          <w:color w:val="302709"/>
          <w:sz w:val="25"/>
          <w:szCs w:val="25"/>
        </w:rPr>
        <w:t>задолженность перед поставщиками за оборудование для образовательных  учреждений (мат. запасы).</w:t>
      </w:r>
    </w:p>
    <w:p>
      <w:pPr>
        <w:pStyle w:val="Normal"/>
        <w:ind w:hanging="0" w:right="176"/>
        <w:rPr>
          <w:b/>
          <w:bCs/>
          <w:color w:val="000000"/>
        </w:rPr>
      </w:pPr>
      <w:r>
        <w:rPr>
          <w:b/>
          <w:bCs/>
          <w:color w:val="000000"/>
        </w:rPr>
        <w:t>По  счету 1 303 00 000 "Расчеты по платежам в бюджеты"- 28 165,4 тыс. руб., из них основные суммы:</w:t>
      </w:r>
    </w:p>
    <w:p>
      <w:pPr>
        <w:pStyle w:val="Normal"/>
        <w:rPr>
          <w:color w:val="000000"/>
          <w:sz w:val="25"/>
          <w:szCs w:val="25"/>
        </w:rPr>
      </w:pPr>
      <w:r>
        <w:rPr>
          <w:color w:val="000000"/>
          <w:sz w:val="25"/>
          <w:szCs w:val="25"/>
        </w:rPr>
        <w:t>-1 30301 000 «Расчеты по налогу на доходы физических лиц» – 2  959,7 тыс. руб. – не перечислен налог на доходы физических лиц за декабрь месяц;</w:t>
      </w:r>
    </w:p>
    <w:p>
      <w:pPr>
        <w:pStyle w:val="Normal"/>
        <w:rPr>
          <w:color w:val="000000"/>
          <w:sz w:val="25"/>
          <w:szCs w:val="25"/>
        </w:rPr>
      </w:pPr>
      <w:r>
        <w:rPr>
          <w:color w:val="000000"/>
          <w:sz w:val="25"/>
          <w:szCs w:val="25"/>
        </w:rPr>
        <w:t xml:space="preserve">-1 303 06 000 «Расчеты по страховым взносам на обязательное социальное страхование от несчастных случаев на производстве и профессиональных заболеваний» - 148,6 тыс. руб. - задолженность по страховым взносам на обязательное социальное страхование от несчастных случаев на производстве и профессиональных заболеваний за декабрь 2025г.; </w:t>
      </w:r>
    </w:p>
    <w:p>
      <w:pPr>
        <w:pStyle w:val="Normal"/>
        <w:rPr>
          <w:color w:val="000000"/>
        </w:rPr>
      </w:pPr>
      <w:r>
        <w:rPr>
          <w:color w:val="000000"/>
        </w:rPr>
        <w:t>1 303 13 000 «Расчеты по единому страховому тарифу» - 194,9 тыс. руб. - задолженность по страховым взносам на обязательное социальное страхование на случай временной нетрудоспособности и в связи с материнством, по страховым взносам на обязательное медицинское страхование, по страховым взносам на обязательное пенсионное страхование на выплату страховой части трудовой пенсии за декабрь 2025 года.</w:t>
      </w:r>
    </w:p>
    <w:p>
      <w:pPr>
        <w:pStyle w:val="Normal"/>
        <w:rPr>
          <w:color w:val="000000"/>
        </w:rPr>
      </w:pPr>
      <w:r>
        <w:rPr>
          <w:color w:val="000000"/>
        </w:rPr>
        <w:t>-1 303 15 000 «Расчеты по единому страховому тарифу» - 24 846,9 тыс. руб. - задолженность по страховым взносам на обязательное социальное страхование на случай временной нетрудоспособности и в связи с материнством, по страховым взносам на обязательное медицинское страхование, по страховым взносам на обязательное пенсионное страхование на выплату страховой части трудовой пенсии за декабрь 2025 года.</w:t>
      </w:r>
    </w:p>
    <w:p>
      <w:pPr>
        <w:pStyle w:val="Normal"/>
        <w:rPr/>
      </w:pPr>
      <w:r>
        <w:rPr>
          <w:color w:val="000000"/>
          <w:sz w:val="28"/>
        </w:rPr>
        <w:tab/>
      </w:r>
      <w:r>
        <w:rPr>
          <w:color w:val="000000"/>
        </w:rPr>
        <w:t xml:space="preserve">По состоянию на 01.01.2026 года имеется просроченная кредиторская задолженность в сумме </w:t>
      </w:r>
      <w:r>
        <w:rPr>
          <w:b/>
          <w:bCs/>
          <w:color w:val="000000"/>
        </w:rPr>
        <w:t xml:space="preserve">5 899, 6 </w:t>
      </w:r>
      <w:r>
        <w:rPr>
          <w:color w:val="000000"/>
        </w:rPr>
        <w:t>тыс. руб. Задолженность сложилась в связи с не доведением предельных объемов финансирования, отсутствием денежных средств в областном бюджете в сумме 5 899,6 тыс. руб. (с учетом софинансирования за счет средств местного бюджета) в т.ч.</w:t>
      </w:r>
    </w:p>
    <w:p>
      <w:pPr>
        <w:pStyle w:val="Normal"/>
        <w:rPr>
          <w:color w:val="000000"/>
        </w:rPr>
      </w:pPr>
      <w:r>
        <w:rPr>
          <w:color w:val="000000"/>
        </w:rPr>
        <w:t xml:space="preserve">-приобретение учебной литературы и дополнительное образование педагогов и воспитателей в рамках субвенции на получение бесплатного дошкольного образования, субвенции на получение бесплатного начального, основного, среднего общего образования в сумме 501,8 тыс. руб.; </w:t>
      </w:r>
    </w:p>
    <w:p>
      <w:pPr>
        <w:pStyle w:val="Normal"/>
        <w:rPr>
          <w:color w:val="000000"/>
        </w:rPr>
      </w:pPr>
      <w:r>
        <w:rPr>
          <w:color w:val="000000"/>
        </w:rPr>
        <w:t>-  приобретение учебников и оборудования для учебных кабинетов в рамках субсидии на приобретение средств обучения и воспитания, необходимых для оснащения учебных кабинетов муниципальных общеобразовательных организаций в сумме 5 347,6тыс. Руб.;</w:t>
      </w:r>
    </w:p>
    <w:p>
      <w:pPr>
        <w:pStyle w:val="Normal"/>
        <w:rPr>
          <w:color w:val="000000"/>
        </w:rPr>
      </w:pPr>
      <w:r>
        <w:rPr>
          <w:color w:val="000000"/>
        </w:rPr>
        <w:t>- за выполненные работы в рамках субвенции по организации мероприятий при осуществлении деятельности по обращению с собаками и кошками без владельцев в сумме 50,2 тыс.руб.</w:t>
      </w:r>
    </w:p>
    <w:p>
      <w:pPr>
        <w:pStyle w:val="Normal"/>
        <w:rPr>
          <w:color w:val="000000"/>
        </w:rPr>
      </w:pPr>
      <w:r>
        <w:rPr>
          <w:color w:val="000000"/>
        </w:rPr>
        <w:t xml:space="preserve">Дебиторская задолженность по бюджету Тулунского муниципального района за отчетный период сложилась в сумме 5 121,4  тыс. руб. По сравнению с началом года задолженность увеличилась на 148,7 тыс. руб. или на 3,0%.( (в т.ч. просроченная задолженность уменьшилась на 365,9 тыс. руб. и составили 3 893,4 тыс. руб.)., в том числе по счетам: </w:t>
      </w:r>
    </w:p>
    <w:p>
      <w:pPr>
        <w:pStyle w:val="Normal"/>
        <w:rPr/>
      </w:pPr>
      <w:r>
        <w:rPr>
          <w:color w:val="000000"/>
          <w:sz w:val="28"/>
        </w:rPr>
        <w:t xml:space="preserve">- </w:t>
      </w:r>
      <w:r>
        <w:rPr>
          <w:b/>
          <w:bCs/>
          <w:i/>
          <w:iCs/>
          <w:color w:val="000000"/>
        </w:rPr>
        <w:t>1 205 00 000 «Расчеты по доходам» - 4 113,8 тыс. руб. (в т. ч. просроченная – 3 890,5 тыс. руб.)</w:t>
      </w:r>
      <w:r>
        <w:rPr>
          <w:color w:val="000000"/>
          <w:sz w:val="28"/>
        </w:rPr>
        <w:t>:</w:t>
      </w:r>
    </w:p>
    <w:p>
      <w:pPr>
        <w:pStyle w:val="Normal"/>
        <w:rPr/>
      </w:pPr>
      <w:r>
        <w:rPr>
          <w:color w:val="000000"/>
          <w:sz w:val="28"/>
        </w:rPr>
        <w:t xml:space="preserve">- </w:t>
      </w:r>
      <w:r>
        <w:rPr>
          <w:color w:val="000000"/>
        </w:rPr>
        <w:t>1 205 23 000 "Расчеты по доходам от платежей при пользовании природными ресурсами" – 2 868,2 тыс. руб. (в т. ч. просроченная – 2 702 ,1 тыс. руб.) - в связи с неисполнением обязательств по договорам аренды земельных участков;</w:t>
      </w:r>
    </w:p>
    <w:p>
      <w:pPr>
        <w:pStyle w:val="Normal"/>
        <w:rPr/>
      </w:pPr>
      <w:r>
        <w:rPr>
          <w:color w:val="000000"/>
          <w:sz w:val="28"/>
        </w:rPr>
        <w:t xml:space="preserve">- </w:t>
      </w:r>
      <w:r>
        <w:rPr>
          <w:color w:val="000000"/>
        </w:rPr>
        <w:t xml:space="preserve">1 205 45 000 «Расчеты по доходам от иных сумм принудительного изъятия» - 921,1 тыс. руб.  (в т.ч.  просроченная – 921,1 тыс. руб.) – в связи с неисполнением обязательств по уплате пеней по договорам аренды земельных участков; </w:t>
      </w:r>
    </w:p>
    <w:p>
      <w:pPr>
        <w:pStyle w:val="Normal"/>
        <w:rPr/>
      </w:pPr>
      <w:r>
        <w:rPr>
          <w:color w:val="000000"/>
          <w:sz w:val="28"/>
        </w:rPr>
        <w:t>-</w:t>
      </w:r>
      <w:r>
        <w:rPr>
          <w:b/>
          <w:bCs/>
          <w:i/>
          <w:iCs/>
          <w:color w:val="000000"/>
        </w:rPr>
        <w:t xml:space="preserve"> 1 206 00 000 «Расчеты по выданным авансам» - 848,7 тыс. руб. (в т. ч. просроченная – 0,00 руб.): </w:t>
      </w:r>
    </w:p>
    <w:p>
      <w:pPr>
        <w:pStyle w:val="Normal"/>
        <w:rPr/>
      </w:pPr>
      <w:r>
        <w:rPr>
          <w:color w:val="000000"/>
          <w:sz w:val="28"/>
        </w:rPr>
        <w:t xml:space="preserve">- </w:t>
      </w:r>
      <w:r>
        <w:rPr>
          <w:color w:val="000000"/>
        </w:rPr>
        <w:t>1 206 21 000 «Расчеты по авансам по услугам связи» - 41,3 тыс. руб.</w:t>
      </w:r>
      <w:r>
        <w:rPr/>
        <w:t xml:space="preserve"> </w:t>
      </w:r>
      <w:r>
        <w:rPr>
          <w:color w:val="000000"/>
        </w:rPr>
        <w:t>(в т. ч. просроченная – 0,00 руб.) - предоплата за услуги связи, согласно заключённых договоров;</w:t>
      </w:r>
    </w:p>
    <w:p>
      <w:pPr>
        <w:pStyle w:val="Normal"/>
        <w:rPr>
          <w:color w:val="000000"/>
        </w:rPr>
      </w:pPr>
      <w:r>
        <w:rPr>
          <w:color w:val="000000"/>
        </w:rPr>
        <w:t xml:space="preserve">- 1 206 23 000 «Расчетов по авансам по авансам по коммунальным услугам» - 546 ,6 тыс. руб. (в т. ч. просроченная – 0,00 руб.) - предоплата за коммунальные услуги </w:t>
      </w:r>
    </w:p>
    <w:p>
      <w:pPr>
        <w:pStyle w:val="Normal"/>
        <w:rPr/>
      </w:pPr>
      <w:r>
        <w:rPr>
          <w:color w:val="000000"/>
        </w:rPr>
        <w:t>- 1 206 26 000 «Расчетов по авансам по прочим работам, услугам» - 33,1 тыс. руб. (в т. ч. просроченная – 0,00 руб.)- предоплата за публикацию в «Вестник» ликвидация МДОУ детский сад «Сказка», перечислены авансовые платежи за подписку на периодические издания;</w:t>
      </w:r>
      <w:r>
        <w:rPr/>
        <w:t xml:space="preserve"> </w:t>
      </w:r>
    </w:p>
    <w:p>
      <w:pPr>
        <w:pStyle w:val="Normal"/>
        <w:rPr>
          <w:color w:val="000000"/>
        </w:rPr>
      </w:pPr>
      <w:r>
        <w:rPr>
          <w:color w:val="000000"/>
        </w:rPr>
        <w:t>- 1 206 31 000 «Расчеты по авансам по приобретению основных средств» - 99,7тыс. руб. (в т. ч. просроченная – 0,00 руб.) - предоплата за поставку оборудования, предоплата за тахограф.;</w:t>
      </w:r>
    </w:p>
    <w:p>
      <w:pPr>
        <w:pStyle w:val="Normal"/>
        <w:rPr/>
      </w:pPr>
      <w:r>
        <w:rPr>
          <w:color w:val="000000"/>
        </w:rPr>
        <w:t>- 1 206 34 000 «</w:t>
      </w:r>
      <w:r>
        <w:rPr/>
        <w:t>Расчеты по авансам по приобретению материальных запасов</w:t>
      </w:r>
      <w:r>
        <w:rPr>
          <w:color w:val="000000"/>
        </w:rPr>
        <w:t>» - 217, 9 тыс. руб.- предоплата за приобретение материальных запасов, приобретение ГСМ согласно заключенных договоров.</w:t>
      </w:r>
    </w:p>
    <w:p>
      <w:pPr>
        <w:pStyle w:val="Normal"/>
        <w:rPr/>
      </w:pPr>
      <w:r>
        <w:rPr>
          <w:color w:val="000000"/>
        </w:rPr>
        <w:t>-</w:t>
      </w:r>
      <w:r>
        <w:rPr>
          <w:b/>
          <w:bCs/>
          <w:i/>
          <w:iCs/>
          <w:color w:val="000000"/>
        </w:rPr>
        <w:t xml:space="preserve"> 1 208 00 000 «Расчеты с подотчетными лицами» - 131,4 тыс. руб</w:t>
      </w:r>
      <w:r>
        <w:rPr>
          <w:color w:val="000000"/>
        </w:rPr>
        <w:t>. Образовалась в результате выдачи в подотчет, в декабре 2025 г. денежных средств на обеспечение ГСМ образовательных учреждений на январь 2026 г.</w:t>
      </w:r>
    </w:p>
    <w:p>
      <w:pPr>
        <w:pStyle w:val="Normal"/>
        <w:tabs>
          <w:tab w:val="clear" w:pos="720"/>
          <w:tab w:val="left" w:pos="709" w:leader="none"/>
        </w:tabs>
        <w:ind w:hanging="0" w:right="0"/>
        <w:rPr/>
      </w:pPr>
      <w:r>
        <w:rPr>
          <w:color w:val="000000"/>
          <w:sz w:val="25"/>
          <w:szCs w:val="25"/>
        </w:rPr>
        <w:t xml:space="preserve">    </w:t>
      </w:r>
      <w:r>
        <w:rPr>
          <w:color w:val="000000"/>
          <w:sz w:val="25"/>
          <w:szCs w:val="25"/>
        </w:rPr>
        <w:t xml:space="preserve">Из общей суммы дебиторской задолженности — 3 893,4 тыс. руб. является просроченной задолженностью. По сравнению с началом года просроченная дебиторская задолженность уменьшилась на 365,9 тыс. руб. или на 8,6 %, в т.ч. основная сумма просроченной дебиторской задолженности 2 702,1 тыс. руб. сложилась </w:t>
      </w:r>
      <w:r>
        <w:rPr>
          <w:sz w:val="25"/>
          <w:szCs w:val="25"/>
        </w:rPr>
        <w:t xml:space="preserve">по платежам при пользовании природными ресурсами (арендная плата за земельные участки) </w:t>
      </w:r>
      <w:r>
        <w:rPr/>
        <w:t>(2016 год — 5, 9 тыс. руб. , 2017 год — 3,6 тыс. руб. , 2018 год — 195, 7 тыс. руб. , 2019 год — 211,6 тыс. руб. , 2020 год — 248,4 тыс. руб. , 2021 год — 289,8 тыс. руб., 2022 год —       307,6 тыс. руб. , 2023 год — 584,8 тыс. руб. , 2024 год — 294,1 тыс. руб. , 2025 год — 560,5 тыс. руб. )</w:t>
      </w:r>
      <w:r>
        <w:rPr>
          <w:sz w:val="25"/>
          <w:szCs w:val="25"/>
        </w:rPr>
        <w:t xml:space="preserve">; </w:t>
      </w:r>
      <w:r>
        <w:rPr>
          <w:color w:val="000000"/>
        </w:rPr>
        <w:t xml:space="preserve">по доходам от иных сумм принудительного изъятия в сумме  921,1 тыс. руб. в связи с неисполнением обязательств по уплате пеней по договорам аренды земельных участков  </w:t>
      </w:r>
      <w:r>
        <w:rPr>
          <w:color w:val="000000"/>
          <w:sz w:val="25"/>
          <w:szCs w:val="25"/>
        </w:rPr>
        <w:t>Арендаторами.</w:t>
      </w:r>
    </w:p>
    <w:p>
      <w:pPr>
        <w:pStyle w:val="Normal"/>
        <w:tabs>
          <w:tab w:val="clear" w:pos="720"/>
          <w:tab w:val="left" w:pos="709" w:leader="none"/>
        </w:tabs>
        <w:ind w:hanging="0" w:right="0"/>
        <w:rPr>
          <w:sz w:val="25"/>
          <w:szCs w:val="25"/>
          <w:shd w:fill="FFFF00" w:val="clear"/>
        </w:rPr>
      </w:pPr>
      <w:r>
        <w:rPr>
          <w:sz w:val="25"/>
          <w:szCs w:val="25"/>
          <w:shd w:fill="FFFF00" w:val="clear"/>
        </w:rPr>
      </w:r>
    </w:p>
    <w:p>
      <w:pPr>
        <w:pStyle w:val="Normal"/>
        <w:tabs>
          <w:tab w:val="clear" w:pos="720"/>
          <w:tab w:val="left" w:pos="709" w:leader="none"/>
        </w:tabs>
        <w:ind w:hanging="0" w:right="0"/>
        <w:jc w:val="center"/>
        <w:rPr>
          <w:sz w:val="25"/>
          <w:szCs w:val="25"/>
          <w:shd w:fill="FFFF00" w:val="clear"/>
        </w:rPr>
      </w:pPr>
      <w:r>
        <w:rPr>
          <w:sz w:val="25"/>
          <w:szCs w:val="25"/>
        </w:rPr>
        <w:t xml:space="preserve"> </w:t>
      </w:r>
      <w:r>
        <w:rPr>
          <w:b/>
          <w:sz w:val="25"/>
          <w:szCs w:val="25"/>
        </w:rPr>
        <w:t>13. Осуществление мун</w:t>
      </w:r>
      <w:r>
        <w:rPr>
          <w:b/>
          <w:sz w:val="25"/>
          <w:szCs w:val="25"/>
          <w:shd w:fill="FFFFFF" w:val="clear"/>
        </w:rPr>
        <w:t xml:space="preserve">иципального </w:t>
      </w:r>
      <w:r>
        <w:rPr>
          <w:b/>
          <w:sz w:val="25"/>
          <w:szCs w:val="25"/>
        </w:rPr>
        <w:t>финансового контроля за исполнением бюджета Тулунского муниципального района.</w:t>
      </w:r>
    </w:p>
    <w:p>
      <w:pPr>
        <w:pStyle w:val="Normal"/>
        <w:tabs>
          <w:tab w:val="clear" w:pos="720"/>
          <w:tab w:val="left" w:pos="709" w:leader="none"/>
          <w:tab w:val="left" w:pos="1080" w:leader="none"/>
        </w:tabs>
        <w:jc w:val="center"/>
        <w:rPr>
          <w:b/>
          <w:sz w:val="25"/>
          <w:szCs w:val="25"/>
        </w:rPr>
      </w:pPr>
      <w:r>
        <w:rPr>
          <w:b/>
          <w:sz w:val="25"/>
          <w:szCs w:val="25"/>
        </w:rPr>
      </w:r>
    </w:p>
    <w:p>
      <w:pPr>
        <w:pStyle w:val="Normal"/>
        <w:tabs>
          <w:tab w:val="left" w:pos="720" w:leader="none"/>
        </w:tabs>
        <w:ind w:hanging="0" w:right="0"/>
        <w:rPr/>
      </w:pPr>
      <w:r>
        <w:rPr>
          <w:sz w:val="25"/>
          <w:szCs w:val="25"/>
        </w:rPr>
        <w:t xml:space="preserve">   </w:t>
      </w:r>
      <w:r>
        <w:rPr>
          <w:color w:val="000000"/>
          <w:shd w:fill="FFFFFF" w:val="clear"/>
        </w:rPr>
        <w:t>В рамках осуществления внутреннего муниципального финансового контроля,</w:t>
      </w:r>
      <w:r>
        <w:rPr/>
        <w:t xml:space="preserve"> Комитетом по финансам администрации Тулунского муниципального района, согласно отчета о результатах контрольной деятельности органа внутреннего муниципального финансового контроля за 2025 год всего проведено 25 контрольных мероприятий, в том числе 2 внеплановые проверки. К</w:t>
      </w:r>
      <w:r>
        <w:rPr>
          <w:color w:val="34343C"/>
        </w:rPr>
        <w:t xml:space="preserve">онтрольными мероприятиями в 2025 году охвачено 27 объектов, в том числе 8 органов местного самоуправления (23,5% от общего количества органов местного самоуправления) и 19 муниципальных учреждений (22,6 % от общего количества муниципальных учреждений) </w:t>
      </w:r>
      <w:r>
        <w:rPr/>
        <w:t>Общий объём проверенных средств в отчетном периоде составил 338 206,95 тыс. руб.. Выявлено нарушений законодательства на сумму 111 281,89 тыс. руб., в том числе:</w:t>
      </w:r>
    </w:p>
    <w:p>
      <w:pPr>
        <w:pStyle w:val="Normal"/>
        <w:widowControl w:val="false"/>
        <w:numPr>
          <w:ilvl w:val="0"/>
          <w:numId w:val="0"/>
        </w:numPr>
        <w:tabs>
          <w:tab w:val="clear" w:pos="720"/>
          <w:tab w:val="left" w:pos="567" w:leader="none"/>
          <w:tab w:val="left" w:pos="709" w:leader="none"/>
        </w:tabs>
        <w:ind w:firstLine="567" w:left="0" w:right="176"/>
        <w:outlineLvl w:val="1"/>
        <w:rPr/>
      </w:pPr>
      <w:r>
        <w:rPr/>
        <w:t>- объем нарушений требований к составлению и исполнению бюджета по расходам, установленных бюджетным законодательством РФ, положениями правовых актов, регулирующих бюджетные правоотношения – 23,10 тыс. руб.;</w:t>
      </w:r>
    </w:p>
    <w:p>
      <w:pPr>
        <w:pStyle w:val="Normal"/>
        <w:widowControl w:val="false"/>
        <w:numPr>
          <w:ilvl w:val="0"/>
          <w:numId w:val="0"/>
        </w:numPr>
        <w:tabs>
          <w:tab w:val="clear" w:pos="720"/>
          <w:tab w:val="left" w:pos="567" w:leader="none"/>
          <w:tab w:val="left" w:pos="709" w:leader="none"/>
        </w:tabs>
        <w:ind w:firstLine="567" w:left="0" w:right="176"/>
        <w:outlineLvl w:val="1"/>
        <w:rPr/>
      </w:pPr>
      <w:r>
        <w:rPr/>
        <w:t>- объем порядка составления, утверждения и ведения бюджетных смет – 3 814,54 тыс. руб.;</w:t>
      </w:r>
    </w:p>
    <w:p>
      <w:pPr>
        <w:pStyle w:val="Normal"/>
        <w:widowControl w:val="false"/>
        <w:numPr>
          <w:ilvl w:val="0"/>
          <w:numId w:val="0"/>
        </w:numPr>
        <w:tabs>
          <w:tab w:val="clear" w:pos="720"/>
          <w:tab w:val="left" w:pos="567" w:leader="none"/>
          <w:tab w:val="left" w:pos="709" w:leader="none"/>
        </w:tabs>
        <w:ind w:firstLine="567" w:left="0" w:right="176"/>
        <w:outlineLvl w:val="1"/>
        <w:rPr/>
      </w:pPr>
      <w:r>
        <w:rPr/>
        <w:t>- объем порядка доведения бюджетных ассигнований и (или) лимитов бюджетных обязательств – 25 728,00 тыс.руб.;</w:t>
      </w:r>
    </w:p>
    <w:p>
      <w:pPr>
        <w:pStyle w:val="Normal"/>
        <w:widowControl w:val="false"/>
        <w:numPr>
          <w:ilvl w:val="0"/>
          <w:numId w:val="0"/>
        </w:numPr>
        <w:tabs>
          <w:tab w:val="clear" w:pos="720"/>
          <w:tab w:val="left" w:pos="567" w:leader="none"/>
          <w:tab w:val="left" w:pos="709" w:leader="none"/>
        </w:tabs>
        <w:ind w:firstLine="567" w:left="0" w:right="176"/>
        <w:outlineLvl w:val="1"/>
        <w:rPr/>
      </w:pPr>
      <w:r>
        <w:rPr/>
        <w:t>- объем порядка принятия бюджетных обязательств – 16 808,45 тыс. руб.;</w:t>
      </w:r>
    </w:p>
    <w:p>
      <w:pPr>
        <w:pStyle w:val="Normal"/>
        <w:widowControl w:val="false"/>
        <w:numPr>
          <w:ilvl w:val="0"/>
          <w:numId w:val="0"/>
        </w:numPr>
        <w:tabs>
          <w:tab w:val="clear" w:pos="720"/>
          <w:tab w:val="left" w:pos="851" w:leader="none"/>
        </w:tabs>
        <w:ind w:firstLine="567" w:left="0" w:right="176"/>
        <w:outlineLvl w:val="1"/>
        <w:rPr/>
      </w:pPr>
      <w:r>
        <w:rPr/>
        <w:t>- объем неэффективно использованных средств – 6,72 тыс. руб.;</w:t>
      </w:r>
    </w:p>
    <w:p>
      <w:pPr>
        <w:pStyle w:val="Normal"/>
        <w:widowControl w:val="false"/>
        <w:numPr>
          <w:ilvl w:val="0"/>
          <w:numId w:val="0"/>
        </w:numPr>
        <w:tabs>
          <w:tab w:val="clear" w:pos="720"/>
          <w:tab w:val="left" w:pos="851" w:leader="none"/>
        </w:tabs>
        <w:ind w:firstLine="567" w:left="0" w:right="176"/>
        <w:outlineLvl w:val="1"/>
        <w:rPr/>
      </w:pPr>
      <w:r>
        <w:rPr/>
        <w:t>- объем нарушений ведения реестров расходных обязательств – 4 459,20 тыс. руб.;</w:t>
      </w:r>
    </w:p>
    <w:p>
      <w:pPr>
        <w:pStyle w:val="Normal"/>
        <w:widowControl w:val="false"/>
        <w:numPr>
          <w:ilvl w:val="0"/>
          <w:numId w:val="0"/>
        </w:numPr>
        <w:ind w:firstLine="426" w:left="0" w:right="176"/>
        <w:outlineLvl w:val="1"/>
        <w:rPr/>
      </w:pPr>
      <w:r>
        <w:rPr/>
        <w:t xml:space="preserve">  </w:t>
      </w:r>
      <w:r>
        <w:rPr/>
        <w:t>- объем нарушений ведения бухгалтерского учёта, составления и представления бухгалтерской отчетности – 2 002,02 тыс. руб.;</w:t>
      </w:r>
    </w:p>
    <w:p>
      <w:pPr>
        <w:pStyle w:val="Normal"/>
        <w:widowControl w:val="false"/>
        <w:numPr>
          <w:ilvl w:val="0"/>
          <w:numId w:val="0"/>
        </w:numPr>
        <w:tabs>
          <w:tab w:val="clear" w:pos="720"/>
          <w:tab w:val="left" w:pos="621" w:leader="none"/>
        </w:tabs>
        <w:ind w:firstLine="454" w:left="0" w:right="170"/>
        <w:outlineLvl w:val="1"/>
        <w:rPr/>
      </w:pPr>
      <w:r>
        <w:rPr/>
        <w:t xml:space="preserve">  </w:t>
      </w:r>
      <w:r>
        <w:rPr/>
        <w:t>- объем нарушений в управлении и учёте муниципального имущества – 58 097,55 тыс. руб.;</w:t>
      </w:r>
    </w:p>
    <w:p>
      <w:pPr>
        <w:pStyle w:val="Normal"/>
        <w:widowControl w:val="false"/>
        <w:numPr>
          <w:ilvl w:val="0"/>
          <w:numId w:val="0"/>
        </w:numPr>
        <w:ind w:firstLine="567" w:left="0" w:right="176"/>
        <w:outlineLvl w:val="1"/>
        <w:rPr/>
      </w:pPr>
      <w:r>
        <w:rPr/>
        <w:t xml:space="preserve"> </w:t>
      </w:r>
      <w:r>
        <w:rPr/>
        <w:t>- объем нарушений при осуществлении муниципальных закупок – 25,70 тыс. руб.;</w:t>
      </w:r>
    </w:p>
    <w:p>
      <w:pPr>
        <w:pStyle w:val="Normal"/>
        <w:widowControl w:val="false"/>
        <w:numPr>
          <w:ilvl w:val="0"/>
          <w:numId w:val="0"/>
        </w:numPr>
        <w:ind w:firstLine="567" w:left="0" w:right="176"/>
        <w:outlineLvl w:val="1"/>
        <w:rPr/>
      </w:pPr>
      <w:r>
        <w:rPr/>
        <w:t xml:space="preserve"> </w:t>
      </w:r>
      <w:r>
        <w:rPr/>
        <w:t>- объем нарушений в нормирование ст.19 закона № 44-ФЗ – 1,30 тыс. руб.;</w:t>
      </w:r>
    </w:p>
    <w:p>
      <w:pPr>
        <w:pStyle w:val="Normal"/>
        <w:widowControl w:val="false"/>
        <w:numPr>
          <w:ilvl w:val="0"/>
          <w:numId w:val="0"/>
        </w:numPr>
        <w:tabs>
          <w:tab w:val="clear" w:pos="720"/>
          <w:tab w:val="left" w:pos="851" w:leader="none"/>
        </w:tabs>
        <w:ind w:firstLine="567" w:left="0" w:right="176"/>
        <w:outlineLvl w:val="1"/>
        <w:rPr/>
      </w:pPr>
      <w:r>
        <w:rPr/>
        <w:t xml:space="preserve">    </w:t>
      </w:r>
      <w:r>
        <w:rPr/>
        <w:t>- объем нарушений Федерального закона от 05.05.2013г. № 44-ФЗ «О контрактной системе в сфере закупок товаров, работ, услуг для обеспечения государственных и муниципальных нужд» – 315,31 тыс. руб.</w:t>
      </w:r>
    </w:p>
    <w:p>
      <w:pPr>
        <w:pStyle w:val="Normal"/>
        <w:widowControl w:val="false"/>
        <w:numPr>
          <w:ilvl w:val="0"/>
          <w:numId w:val="0"/>
        </w:numPr>
        <w:tabs>
          <w:tab w:val="clear" w:pos="720"/>
          <w:tab w:val="left" w:pos="851" w:leader="none"/>
        </w:tabs>
        <w:ind w:firstLine="567" w:left="0" w:right="176"/>
        <w:outlineLvl w:val="1"/>
        <w:rPr/>
      </w:pPr>
      <w:r>
        <w:rPr/>
        <w:t>В соответствии со статьей 270.2 Бюджетного кодекса РФ отделом финансового контроля направлено 10 представлений, содержащих информацию о выявленных в пределах компетенции органа внутреннего муниципального финансового контроля нарушениях и для принятия мер по устранению выявленных нарушений, причин и условий, способствующих их совершению.</w:t>
      </w:r>
    </w:p>
    <w:p>
      <w:pPr>
        <w:pStyle w:val="Normal"/>
        <w:widowControl w:val="false"/>
        <w:numPr>
          <w:ilvl w:val="0"/>
          <w:numId w:val="0"/>
        </w:numPr>
        <w:tabs>
          <w:tab w:val="clear" w:pos="720"/>
          <w:tab w:val="left" w:pos="851" w:leader="none"/>
        </w:tabs>
        <w:ind w:firstLine="567" w:left="0" w:right="176"/>
        <w:outlineLvl w:val="1"/>
        <w:rPr/>
      </w:pPr>
      <w:r>
        <w:rPr/>
        <w:t xml:space="preserve">Объектами контроля представлены документы, материалы и информация, подтверждающие полностью или частично устранение нарушения и (или) принятие мер по устранению причин и условий нарушения. </w:t>
      </w:r>
    </w:p>
    <w:p>
      <w:pPr>
        <w:pStyle w:val="Normal"/>
        <w:tabs>
          <w:tab w:val="clear" w:pos="720"/>
          <w:tab w:val="left" w:pos="450" w:leader="none"/>
        </w:tabs>
        <w:ind w:hanging="0" w:right="176"/>
        <w:rPr/>
      </w:pPr>
      <w:r>
        <w:rPr>
          <w:color w:val="C9211E"/>
          <w:sz w:val="25"/>
          <w:szCs w:val="25"/>
        </w:rPr>
        <w:t xml:space="preserve"> </w:t>
      </w:r>
      <w:r>
        <w:rPr>
          <w:b/>
          <w:bCs/>
          <w:color w:val="C9211E"/>
          <w:sz w:val="25"/>
          <w:szCs w:val="25"/>
        </w:rPr>
        <w:t xml:space="preserve">   </w:t>
      </w:r>
      <w:r>
        <w:rPr>
          <w:color w:val="000000"/>
          <w:sz w:val="25"/>
          <w:szCs w:val="25"/>
        </w:rPr>
        <w:t>В рамках осуществления внешнего муниципального финансового контроля, Контрольно - счетной палатой в 2025 году проведено 93 контрольных и экспертно-аналитических мероприятия, в том числе 34 контрольных мероприятия, 59 экспертно - аналитических мероприятия.</w:t>
      </w:r>
    </w:p>
    <w:p>
      <w:pPr>
        <w:pStyle w:val="Normal"/>
        <w:tabs>
          <w:tab w:val="clear" w:pos="720"/>
          <w:tab w:val="left" w:pos="-1276" w:leader="none"/>
          <w:tab w:val="left" w:pos="709" w:leader="none"/>
        </w:tabs>
        <w:ind w:hanging="0" w:right="-1"/>
        <w:rPr/>
      </w:pPr>
      <w:r>
        <w:rPr>
          <w:b/>
          <w:bCs/>
          <w:color w:val="000000"/>
          <w:sz w:val="25"/>
          <w:szCs w:val="25"/>
        </w:rPr>
        <w:t xml:space="preserve">     </w:t>
      </w:r>
      <w:r>
        <w:rPr>
          <w:b/>
          <w:bCs/>
          <w:color w:val="000000"/>
          <w:sz w:val="25"/>
          <w:szCs w:val="25"/>
        </w:rPr>
        <w:tab/>
      </w:r>
      <w:r>
        <w:rPr>
          <w:color w:val="000000"/>
          <w:sz w:val="25"/>
          <w:szCs w:val="25"/>
        </w:rPr>
        <w:t>Контрольными мероприятиями охвачено 126 объектов, э</w:t>
      </w:r>
      <w:r>
        <w:rPr>
          <w:color w:val="000000"/>
          <w:sz w:val="25"/>
          <w:szCs w:val="25"/>
          <w:shd w:fill="FFFFFF" w:val="clear"/>
        </w:rPr>
        <w:t xml:space="preserve">кспертно-аналитическими </w:t>
      </w:r>
      <w:r>
        <w:rPr>
          <w:color w:val="000000"/>
          <w:sz w:val="25"/>
          <w:szCs w:val="25"/>
        </w:rPr>
        <w:t>мероприятиями охвачено 83 объектов.</w:t>
      </w:r>
    </w:p>
    <w:p>
      <w:pPr>
        <w:pStyle w:val="Normal"/>
        <w:tabs>
          <w:tab w:val="clear" w:pos="720"/>
          <w:tab w:val="left" w:pos="-1276" w:leader="none"/>
          <w:tab w:val="left" w:pos="709" w:leader="none"/>
        </w:tabs>
        <w:rPr>
          <w:color w:val="000000"/>
          <w:sz w:val="25"/>
          <w:szCs w:val="25"/>
        </w:rPr>
      </w:pPr>
      <w:r>
        <w:rPr>
          <w:color w:val="000000"/>
          <w:sz w:val="25"/>
          <w:szCs w:val="25"/>
        </w:rPr>
        <w:t>За отчётный период объём проверенных средств, в ходе контрольной и экспертно-аналитической работы должностными лицами КСП, составил 1 405 086,9 тыс. руб., выявлено нарушений законодательства на сумму 87 225,2 тыс. руб., в том числе:</w:t>
      </w:r>
    </w:p>
    <w:p>
      <w:pPr>
        <w:pStyle w:val="Normal"/>
        <w:tabs>
          <w:tab w:val="clear" w:pos="720"/>
          <w:tab w:val="left" w:pos="-1276" w:leader="none"/>
          <w:tab w:val="left" w:pos="709" w:leader="none"/>
        </w:tabs>
        <w:rPr>
          <w:color w:val="000000"/>
          <w:sz w:val="25"/>
          <w:szCs w:val="25"/>
        </w:rPr>
      </w:pPr>
      <w:r>
        <w:rPr>
          <w:color w:val="000000"/>
          <w:sz w:val="25"/>
          <w:szCs w:val="25"/>
        </w:rPr>
        <w:t>- объем неэффективно использованных средств – 7 531,4 тыс. руб.;</w:t>
      </w:r>
    </w:p>
    <w:p>
      <w:pPr>
        <w:pStyle w:val="Normal"/>
        <w:tabs>
          <w:tab w:val="clear" w:pos="720"/>
          <w:tab w:val="left" w:pos="-1276" w:leader="none"/>
          <w:tab w:val="left" w:pos="709" w:leader="none"/>
        </w:tabs>
        <w:rPr>
          <w:color w:val="000000"/>
          <w:sz w:val="25"/>
          <w:szCs w:val="25"/>
        </w:rPr>
      </w:pPr>
      <w:r>
        <w:rPr>
          <w:color w:val="000000"/>
          <w:sz w:val="25"/>
          <w:szCs w:val="25"/>
        </w:rPr>
        <w:t>- объем нарушений при формировании и исполнении бюджета – 10 366,8 тыс. руб.;</w:t>
      </w:r>
    </w:p>
    <w:p>
      <w:pPr>
        <w:pStyle w:val="Normal"/>
        <w:tabs>
          <w:tab w:val="clear" w:pos="720"/>
          <w:tab w:val="left" w:pos="-1276" w:leader="none"/>
          <w:tab w:val="left" w:pos="709" w:leader="none"/>
        </w:tabs>
        <w:rPr>
          <w:color w:val="000000"/>
          <w:sz w:val="25"/>
          <w:szCs w:val="25"/>
        </w:rPr>
      </w:pPr>
      <w:r>
        <w:rPr>
          <w:color w:val="000000"/>
          <w:sz w:val="25"/>
          <w:szCs w:val="25"/>
        </w:rPr>
        <w:t>- объем нарушений ведения бухгалтерского учета, составления и представления бухгалтерской отчетности – 65 644,8 тыс. руб.;</w:t>
      </w:r>
    </w:p>
    <w:p>
      <w:pPr>
        <w:pStyle w:val="Normal"/>
        <w:tabs>
          <w:tab w:val="clear" w:pos="720"/>
          <w:tab w:val="left" w:pos="-1276" w:leader="none"/>
          <w:tab w:val="left" w:pos="709" w:leader="none"/>
        </w:tabs>
        <w:rPr>
          <w:color w:val="000000"/>
          <w:sz w:val="25"/>
          <w:szCs w:val="25"/>
        </w:rPr>
      </w:pPr>
      <w:r>
        <w:rPr>
          <w:color w:val="000000"/>
          <w:sz w:val="25"/>
          <w:szCs w:val="25"/>
        </w:rPr>
        <w:t>- объем нарушений в сфере управления и распоряжения муниципальной собственностью — 2 163,7 тыс. руб.;</w:t>
      </w:r>
    </w:p>
    <w:p>
      <w:pPr>
        <w:pStyle w:val="Normal"/>
        <w:tabs>
          <w:tab w:val="clear" w:pos="720"/>
          <w:tab w:val="left" w:pos="-1276" w:leader="none"/>
          <w:tab w:val="left" w:pos="709" w:leader="none"/>
        </w:tabs>
        <w:rPr>
          <w:color w:val="000000"/>
          <w:sz w:val="25"/>
          <w:szCs w:val="25"/>
        </w:rPr>
      </w:pPr>
      <w:r>
        <w:rPr>
          <w:color w:val="000000"/>
          <w:sz w:val="25"/>
          <w:szCs w:val="25"/>
        </w:rPr>
        <w:t>- объем нарушений при осуществлении муниципальных закупок и закупок отдельными видами юридических лиц — 1 518,5 тыс. руб.;</w:t>
      </w:r>
    </w:p>
    <w:p>
      <w:pPr>
        <w:pStyle w:val="Normal"/>
        <w:tabs>
          <w:tab w:val="clear" w:pos="720"/>
          <w:tab w:val="left" w:pos="-1276" w:leader="none"/>
          <w:tab w:val="left" w:pos="709" w:leader="none"/>
        </w:tabs>
        <w:ind w:hanging="0" w:right="-1"/>
        <w:rPr/>
      </w:pPr>
      <w:r>
        <w:rPr>
          <w:sz w:val="25"/>
          <w:szCs w:val="25"/>
          <w:shd w:fill="FFFFFF" w:val="clear"/>
        </w:rPr>
        <w:t xml:space="preserve">        </w:t>
      </w:r>
      <w:r>
        <w:rPr/>
        <w:t>Следует отметить, что за 2025 год объем выявленных нарушений по сравнению с 2024 годом уменьшился на 133 226,0 тыс. руб. Анализ показал, что в отчетном периоде по сравнению с 2024 годом увеличился объем неэффективно использованных средств на</w:t>
      </w:r>
    </w:p>
    <w:p>
      <w:pPr>
        <w:pStyle w:val="Normal"/>
        <w:tabs>
          <w:tab w:val="clear" w:pos="720"/>
          <w:tab w:val="left" w:pos="-1276" w:leader="none"/>
          <w:tab w:val="left" w:pos="709" w:leader="none"/>
        </w:tabs>
        <w:ind w:hanging="0" w:right="-1"/>
        <w:rPr/>
      </w:pPr>
      <w:r>
        <w:rPr/>
        <w:t xml:space="preserve"> </w:t>
      </w:r>
      <w:r>
        <w:rPr/>
        <w:t xml:space="preserve">7 115,8тыс. руб., объем нарушений при формировании и исполнении бюджета увеличился на </w:t>
      </w:r>
    </w:p>
    <w:p>
      <w:pPr>
        <w:pStyle w:val="Normal"/>
        <w:tabs>
          <w:tab w:val="clear" w:pos="720"/>
          <w:tab w:val="left" w:pos="-1276" w:leader="none"/>
          <w:tab w:val="left" w:pos="709" w:leader="none"/>
        </w:tabs>
        <w:ind w:hanging="0" w:right="-1"/>
        <w:rPr/>
      </w:pPr>
      <w:r>
        <w:rPr/>
        <w:t>4 125,9 тыс. руб.,объем нарушений ведения бухгалтерского учета, составления и представления бухгалтерской отчетности уменьшился на 66 799,7 тыс. руб., объем нарушений при осуществлении муниципальных закупок уменьшился на 59 496,6 тыс. руб., объем нарушений в сфере управления и распоряжения муниципальной собственностью увеличился на 525,7 тыс. руб., объем иных нарушений уменьшился на 2 857,6 тыс. руб.</w:t>
      </w:r>
    </w:p>
    <w:p>
      <w:pPr>
        <w:pStyle w:val="Normal"/>
        <w:tabs>
          <w:tab w:val="clear" w:pos="720"/>
          <w:tab w:val="left" w:pos="-1276" w:leader="none"/>
          <w:tab w:val="left" w:pos="709" w:leader="none"/>
        </w:tabs>
        <w:ind w:hanging="0" w:right="-1"/>
        <w:rPr/>
      </w:pPr>
      <w:r>
        <w:rPr/>
        <w:tab/>
        <w:t xml:space="preserve">В соответствии со статьей 268.1 Бюджетного кодекса РФ Контрольно-счетной палатой объектам проверки направлено 18 представление и 24 информационных письма для принятия мер по устранению выявленных нарушений, причин и условий, способствующих их совершению. </w:t>
      </w:r>
    </w:p>
    <w:p>
      <w:pPr>
        <w:pStyle w:val="Normal"/>
        <w:tabs>
          <w:tab w:val="clear" w:pos="720"/>
          <w:tab w:val="left" w:pos="-1276" w:leader="none"/>
          <w:tab w:val="left" w:pos="709" w:leader="none"/>
        </w:tabs>
        <w:ind w:hanging="0" w:right="-1"/>
        <w:rPr/>
      </w:pPr>
      <w:r>
        <w:rPr>
          <w:b/>
          <w:bCs/>
          <w:sz w:val="25"/>
          <w:szCs w:val="25"/>
          <w:shd w:fill="FFFFFF" w:val="clear"/>
        </w:rPr>
        <w:t xml:space="preserve">      </w:t>
      </w:r>
      <w:r>
        <w:rPr>
          <w:sz w:val="25"/>
          <w:szCs w:val="25"/>
          <w:shd w:fill="FFFFFF" w:val="clear"/>
        </w:rPr>
        <w:t xml:space="preserve">  </w:t>
      </w:r>
      <w:r>
        <w:rPr>
          <w:sz w:val="25"/>
          <w:szCs w:val="25"/>
          <w:shd w:fill="FFFFFF" w:val="clear"/>
        </w:rPr>
        <w:tab/>
        <w:t>Рекомендовано Контрольно-счетной палатой к устранению выявленных нарушений, включая рекомендации по взысканию или возврату в местный бюджет, всего в сумме 70 832,2 тыс. руб. Согласно конформациям, представленных объектами контроля, устранено выявленных нарушений на сумму 67 093,3 тыс. руб. Следует отметить, что большинство предложений и рекомендаций КСП приняты объектами проверок, о чем говорят представленные информации о выполнении предложений Контрольно-счетной палаты.</w:t>
      </w:r>
      <w:r>
        <w:rPr>
          <w:b/>
          <w:bCs/>
          <w:sz w:val="25"/>
          <w:szCs w:val="25"/>
          <w:shd w:fill="FFFFFF" w:val="clear"/>
        </w:rPr>
        <w:t xml:space="preserve"> </w:t>
      </w:r>
      <w:r>
        <w:rPr>
          <w:sz w:val="25"/>
          <w:szCs w:val="25"/>
          <w:shd w:fill="FFFFFF" w:val="clear"/>
        </w:rPr>
        <w:t xml:space="preserve">Отдельные нарушения не устранены в отчетном году ввиду завершения этапов бюджетного процесса, в том числе связанных с планированием бюджетных ассигнований, исполнением бюджетных смет муниципальными учреждениями, формирование которых осуществлено с несоблюдением требований законодательства. </w:t>
      </w:r>
    </w:p>
    <w:p>
      <w:pPr>
        <w:pStyle w:val="Normal"/>
        <w:widowControl w:val="false"/>
        <w:numPr>
          <w:ilvl w:val="0"/>
          <w:numId w:val="0"/>
        </w:numPr>
        <w:tabs>
          <w:tab w:val="clear" w:pos="720"/>
          <w:tab w:val="left" w:pos="851" w:leader="none"/>
        </w:tabs>
        <w:ind w:firstLine="567" w:left="0" w:right="176"/>
        <w:outlineLvl w:val="1"/>
        <w:rPr/>
      </w:pPr>
      <w:r>
        <w:rPr/>
        <w:t>Выявленные нарушения связаны с нарушениями бюджетного законодательства, законодательства о контрактной системе, о бухгалтерском учёте и других нормативных правовых актов при расходовании средств бюджета, с действиями (либо бездействием) должностных лиц, приведших к неэффективному использованию средств, либо к потере и упущению дополнительных доходов бюджета Тулунского муниципального района.</w:t>
      </w:r>
    </w:p>
    <w:p>
      <w:pPr>
        <w:pStyle w:val="Normal"/>
        <w:widowControl w:val="false"/>
        <w:numPr>
          <w:ilvl w:val="0"/>
          <w:numId w:val="0"/>
        </w:numPr>
        <w:tabs>
          <w:tab w:val="clear" w:pos="720"/>
          <w:tab w:val="left" w:pos="851" w:leader="none"/>
        </w:tabs>
        <w:ind w:firstLine="567" w:left="0" w:right="176"/>
        <w:outlineLvl w:val="1"/>
        <w:rPr>
          <w:sz w:val="25"/>
          <w:szCs w:val="25"/>
        </w:rPr>
      </w:pPr>
      <w:r>
        <w:rPr>
          <w:sz w:val="25"/>
          <w:szCs w:val="25"/>
        </w:rPr>
        <w:t>Наибольшая доля выявленных нарушений вызвана ненадлежащим соблюдением норм Бюджетного кодекса РФ, федерального, областного и муниципального законодательства.</w:t>
      </w:r>
    </w:p>
    <w:p>
      <w:pPr>
        <w:pStyle w:val="Normal"/>
        <w:tabs>
          <w:tab w:val="clear" w:pos="720"/>
          <w:tab w:val="left" w:pos="-1276" w:leader="none"/>
          <w:tab w:val="left" w:pos="709" w:leader="none"/>
        </w:tabs>
        <w:ind w:hanging="0" w:right="-1"/>
        <w:jc w:val="center"/>
        <w:rPr>
          <w:b/>
          <w:sz w:val="25"/>
          <w:szCs w:val="25"/>
        </w:rPr>
      </w:pPr>
      <w:r>
        <w:rPr>
          <w:b/>
          <w:sz w:val="25"/>
          <w:szCs w:val="25"/>
        </w:rPr>
        <w:t>Основные выводы.</w:t>
      </w:r>
    </w:p>
    <w:p>
      <w:pPr>
        <w:pStyle w:val="Normal"/>
        <w:tabs>
          <w:tab w:val="clear" w:pos="720"/>
          <w:tab w:val="left" w:pos="709" w:leader="none"/>
          <w:tab w:val="left" w:pos="1080" w:leader="none"/>
        </w:tabs>
        <w:ind w:firstLine="567" w:left="360" w:right="176"/>
        <w:jc w:val="center"/>
        <w:rPr>
          <w:sz w:val="25"/>
          <w:szCs w:val="25"/>
          <w:shd w:fill="FFFF00" w:val="clear"/>
        </w:rPr>
      </w:pPr>
      <w:r>
        <w:rPr>
          <w:sz w:val="25"/>
          <w:szCs w:val="25"/>
          <w:shd w:fill="FFFF00" w:val="clear"/>
        </w:rPr>
      </w:r>
    </w:p>
    <w:p>
      <w:pPr>
        <w:pStyle w:val="Normal"/>
        <w:tabs>
          <w:tab w:val="clear" w:pos="720"/>
          <w:tab w:val="left" w:pos="1080" w:leader="none"/>
        </w:tabs>
        <w:ind w:hanging="0" w:right="0"/>
        <w:rPr/>
      </w:pPr>
      <w:r>
        <w:rPr>
          <w:sz w:val="25"/>
          <w:szCs w:val="25"/>
        </w:rPr>
        <w:t xml:space="preserve">1. </w:t>
      </w:r>
      <w:r>
        <w:rPr>
          <w:color w:val="34343C"/>
          <w:sz w:val="25"/>
          <w:szCs w:val="25"/>
        </w:rPr>
        <w:t>Настоящее заключение подготовлено с учётом материалов внешних проверок годовой бюджетной отчетности за 2025 год, проведенных в отношении всех главных администраторов средств бюджета Тулунского муниципального района. По результатам внешних проверок были подготовлены заключения.</w:t>
      </w:r>
    </w:p>
    <w:p>
      <w:pPr>
        <w:pStyle w:val="Normal"/>
        <w:tabs>
          <w:tab w:val="clear" w:pos="720"/>
          <w:tab w:val="left" w:pos="1080" w:leader="none"/>
        </w:tabs>
        <w:ind w:hanging="0" w:right="0"/>
        <w:rPr>
          <w:color w:val="34343C"/>
          <w:sz w:val="25"/>
          <w:szCs w:val="25"/>
        </w:rPr>
      </w:pPr>
      <w:r>
        <w:rPr>
          <w:color w:val="34343C"/>
          <w:sz w:val="25"/>
          <w:szCs w:val="25"/>
        </w:rPr>
      </w:r>
    </w:p>
    <w:p>
      <w:pPr>
        <w:pStyle w:val="Normal"/>
        <w:tabs>
          <w:tab w:val="clear" w:pos="720"/>
          <w:tab w:val="left" w:pos="1080" w:leader="none"/>
        </w:tabs>
        <w:ind w:hanging="0" w:right="0"/>
        <w:rPr/>
      </w:pPr>
      <w:r>
        <w:rPr>
          <w:sz w:val="25"/>
          <w:szCs w:val="25"/>
        </w:rPr>
        <w:t>2. Годовая бюджетная отчетность Тулунского муниципального района за 2025 год соответствует перечню и формам, установленным Бюджетным кодексом РФ, требованиям Инструкции о порядке составления и предоставления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№191н. Выявленные факты нарушений ведения бухгалтерского учета, составления и представления бухгалтерской (финансовой) отчетности не привели к искажению показателей годовой бюджетной отчетности об исполнении бюджета Тулунского муниципального района  за 2025 год, в части отражения плановых и фактических объемов доходов, расходов, поступлений и выбытий источников финансирования дефицита бюджета. Таким образом, сводная годовая бюджетная отчетность об исполнении  бюджета Тулунского муниципального района за 2025 год является достоверной.</w:t>
      </w:r>
    </w:p>
    <w:p>
      <w:pPr>
        <w:pStyle w:val="Normal"/>
        <w:tabs>
          <w:tab w:val="clear" w:pos="720"/>
          <w:tab w:val="left" w:pos="1080" w:leader="none"/>
        </w:tabs>
        <w:ind w:hanging="0" w:right="0"/>
        <w:rPr>
          <w:sz w:val="25"/>
          <w:szCs w:val="25"/>
        </w:rPr>
      </w:pPr>
      <w:r>
        <w:rPr>
          <w:sz w:val="25"/>
          <w:szCs w:val="25"/>
        </w:rPr>
      </w:r>
    </w:p>
    <w:p>
      <w:pPr>
        <w:pStyle w:val="Normal"/>
        <w:tabs>
          <w:tab w:val="clear" w:pos="720"/>
          <w:tab w:val="left" w:pos="1080" w:leader="none"/>
        </w:tabs>
        <w:ind w:hanging="0" w:right="0"/>
        <w:rPr/>
      </w:pPr>
      <w:r>
        <w:rPr>
          <w:sz w:val="25"/>
          <w:szCs w:val="25"/>
        </w:rPr>
        <w:t>3. Утверждение бюджета Тулунского  муниципального района 2025 году  обеспечено до начала финансового года. Предельные значения его параметров, установленных Бюджетным кодексом Российской Федерации, соблюдены. Основные характеристики бюджета и состав показателей, содержащиеся в решении Думы Тулунского муниципального района от 24.12.2024г. № 121 «О бюджете Тулунского муниципального района на 2025 год и на плановый период 2026 и 2027 годов» (в редакции решения от 13.02.2025</w:t>
      </w:r>
      <w:r>
        <w:rPr>
          <w:color w:val="000000"/>
          <w:sz w:val="25"/>
          <w:szCs w:val="25"/>
        </w:rPr>
        <w:t>г. №140, от 28.02.2025г. №147, от 27.05.2025г. №176, от 28.10.2025г. №201, от 23.12.2025г №219.</w:t>
      </w:r>
      <w:r>
        <w:rPr>
          <w:sz w:val="25"/>
          <w:szCs w:val="25"/>
        </w:rPr>
        <w:t xml:space="preserve">), соответствуют ст.184.1 БК РФ. </w:t>
      </w:r>
    </w:p>
    <w:p>
      <w:pPr>
        <w:pStyle w:val="Normal"/>
        <w:tabs>
          <w:tab w:val="clear" w:pos="720"/>
          <w:tab w:val="left" w:pos="1080" w:leader="none"/>
        </w:tabs>
        <w:ind w:hanging="0" w:right="0"/>
        <w:rPr>
          <w:sz w:val="25"/>
          <w:szCs w:val="25"/>
        </w:rPr>
      </w:pPr>
      <w:r>
        <w:rPr>
          <w:sz w:val="25"/>
          <w:szCs w:val="25"/>
        </w:rPr>
      </w:r>
    </w:p>
    <w:p>
      <w:pPr>
        <w:pStyle w:val="Normal"/>
        <w:tabs>
          <w:tab w:val="clear" w:pos="720"/>
          <w:tab w:val="left" w:pos="1080" w:leader="none"/>
        </w:tabs>
        <w:ind w:hanging="0" w:right="0"/>
        <w:rPr/>
      </w:pPr>
      <w:r>
        <w:rPr>
          <w:sz w:val="25"/>
          <w:szCs w:val="25"/>
        </w:rPr>
        <w:t>4.  Бюджет Тулунского муниципального района за 2025 год исполнен по доходам в сумме 2 242 918,3 тыс. руб., по расходам в сумме 2 242 232,9  тыс. руб., с превышением доходов над расходами (профицит бюджета) в сумме 685,4 тыс. руб. Достоверность поступления доходов, произведенных расходов, поступления и выбытия источников финансирования дефицита бюджета Тулунского муниципального района, отраженных в Отчете об исполнении бюджета Тулунского муниципального района за 2025г. ф. № 0503117, подтверждена Отчетом Управления Федерального казначейства по Иркутской области по поступлениям и выбытиям ф. № 0503151 по состоянию на 01.01.2026г.</w:t>
      </w:r>
    </w:p>
    <w:p>
      <w:pPr>
        <w:pStyle w:val="Normal"/>
        <w:tabs>
          <w:tab w:val="clear" w:pos="720"/>
          <w:tab w:val="left" w:pos="1080" w:leader="none"/>
        </w:tabs>
        <w:ind w:hanging="0" w:right="0"/>
        <w:rPr>
          <w:sz w:val="25"/>
          <w:szCs w:val="25"/>
        </w:rPr>
      </w:pPr>
      <w:r>
        <w:rPr>
          <w:sz w:val="25"/>
          <w:szCs w:val="25"/>
        </w:rPr>
      </w:r>
    </w:p>
    <w:p>
      <w:pPr>
        <w:pStyle w:val="Normal"/>
        <w:tabs>
          <w:tab w:val="clear" w:pos="720"/>
          <w:tab w:val="left" w:pos="709" w:leader="none"/>
          <w:tab w:val="left" w:pos="1080" w:leader="none"/>
        </w:tabs>
        <w:ind w:hanging="0" w:right="0"/>
        <w:rPr/>
      </w:pPr>
      <w:r>
        <w:rPr>
          <w:sz w:val="25"/>
          <w:szCs w:val="25"/>
        </w:rPr>
        <w:t xml:space="preserve">5. В течение года в бюджет Тулунского муниципального района пять  раз вносились изменения, кроме того, в связи с получением, </w:t>
      </w:r>
      <w:r>
        <w:rPr/>
        <w:t xml:space="preserve">после внесения в 2025 году проекта решения об уточнении бюджета района в Думу Тулунского муниципального района, </w:t>
      </w:r>
      <w:r>
        <w:rPr>
          <w:sz w:val="25"/>
          <w:szCs w:val="25"/>
        </w:rPr>
        <w:t xml:space="preserve">Уведомлений от министерства финансов Иркутской области об изменении межбюджетных трансфертов из областного бюджета  в соответствии с </w:t>
      </w:r>
      <w:r>
        <w:rPr>
          <w:sz w:val="26"/>
          <w:szCs w:val="26"/>
        </w:rPr>
        <w:t>внесением изменений постановлениями Правительства Иркутской области</w:t>
      </w:r>
      <w:r>
        <w:rPr>
          <w:color w:val="302709"/>
          <w:sz w:val="25"/>
          <w:szCs w:val="25"/>
        </w:rPr>
        <w:t>,</w:t>
      </w:r>
      <w:r>
        <w:rPr>
          <w:sz w:val="25"/>
          <w:szCs w:val="25"/>
        </w:rPr>
        <w:t xml:space="preserve"> (всего уменьшено бюджетных ассигнований на сумму 4 036,1 тыс. руб., увеличено бюджетных ассигнований на сумму 22 011,2 тыс. руб.), в соответствии со статьей 217 Бюджетного кодекса РФ и пунктом 19 решения Думы Тулунского муниципального района «О бюджете Тулунского муниципального района на 2025 год и на плановый период 2026 и 2027 годов», приказами Комитета по финансам администрации Тулунского муниципального района от 24.12.2025 №178(од), 25.12.2025г №181(од) внесены изменения  в сводную бюджетную роспись и кассовый план на 2025 год. В результате, отклонение показателей сводной бюджетной росписи и кассового плана на 2025 год от показателей решения о бюджете, в редакции решения Думы от 24.12.2024г. №119, по доходам и по расходам составило 17 975,1 тыс. руб. в сторону </w:t>
      </w:r>
      <w:r>
        <w:rPr>
          <w:color w:val="302709"/>
          <w:sz w:val="25"/>
          <w:szCs w:val="25"/>
        </w:rPr>
        <w:t>увеличения,</w:t>
      </w:r>
      <w:r>
        <w:rPr>
          <w:sz w:val="25"/>
          <w:szCs w:val="25"/>
        </w:rPr>
        <w:t xml:space="preserve"> сумма дефицита бюджета не изменилась.</w:t>
      </w:r>
    </w:p>
    <w:p>
      <w:pPr>
        <w:pStyle w:val="Normal"/>
        <w:tabs>
          <w:tab w:val="clear" w:pos="720"/>
          <w:tab w:val="left" w:pos="709" w:leader="none"/>
          <w:tab w:val="left" w:pos="1080" w:leader="none"/>
        </w:tabs>
        <w:ind w:hanging="0" w:right="0"/>
        <w:rPr>
          <w:sz w:val="25"/>
          <w:szCs w:val="25"/>
        </w:rPr>
      </w:pPr>
      <w:r>
        <w:rPr>
          <w:sz w:val="25"/>
          <w:szCs w:val="25"/>
        </w:rPr>
      </w:r>
    </w:p>
    <w:p>
      <w:pPr>
        <w:pStyle w:val="Normal"/>
        <w:tabs>
          <w:tab w:val="clear" w:pos="720"/>
          <w:tab w:val="left" w:pos="709" w:leader="none"/>
          <w:tab w:val="left" w:pos="1080" w:leader="none"/>
        </w:tabs>
        <w:ind w:firstLine="180" w:right="176"/>
        <w:rPr/>
      </w:pPr>
      <w:r>
        <w:rPr>
          <w:sz w:val="25"/>
          <w:szCs w:val="25"/>
        </w:rPr>
        <w:t xml:space="preserve"> </w:t>
      </w:r>
      <w:r>
        <w:rPr>
          <w:sz w:val="25"/>
          <w:szCs w:val="25"/>
        </w:rPr>
        <w:t>6. По сравнению с 2024 годом объем доходов местного бюджета в 2025 году увеличился на 191 252,7 тыс. руб.</w:t>
      </w:r>
    </w:p>
    <w:p>
      <w:pPr>
        <w:pStyle w:val="Normal"/>
        <w:ind w:hanging="0" w:right="0"/>
        <w:rPr/>
      </w:pPr>
      <w:r>
        <w:rPr>
          <w:sz w:val="25"/>
          <w:szCs w:val="25"/>
        </w:rPr>
        <w:t xml:space="preserve">    </w:t>
      </w:r>
      <w:r>
        <w:rPr>
          <w:sz w:val="25"/>
          <w:szCs w:val="25"/>
        </w:rPr>
        <w:t>Налоговые и неналоговые доходы исполнены в сумме 334 511,9 тыс. руб., что составляет 104,3% от уточненного плана года и 166,1 % от фактического поступления за 2024 год. В отчетном году поступило больше, чем в 2024 году собственных доходов на 133 121,6 тыс. руб. больше,  поступило налога на доходы физических лиц на 60 756,4 тыс. руб. (221 942,6 тыс. руб.), налоги на совокупный доход</w:t>
      </w:r>
      <w:r>
        <w:rPr>
          <w:color w:val="000000"/>
          <w:sz w:val="25"/>
          <w:szCs w:val="25"/>
        </w:rPr>
        <w:t xml:space="preserve"> увеличилась на 4 801,6 тыс. руб. (15 338,7 тыс. руб.) Доходы от использования имущества, находящегося в муниципальной собственности увеличились на 22 936,6 тыс. руб. (29126,2тыс. руб.)</w:t>
      </w:r>
    </w:p>
    <w:p>
      <w:pPr>
        <w:pStyle w:val="Normal"/>
        <w:tabs>
          <w:tab w:val="clear" w:pos="720"/>
          <w:tab w:val="left" w:pos="225" w:leader="none"/>
          <w:tab w:val="left" w:pos="709" w:leader="none"/>
          <w:tab w:val="left" w:pos="1080" w:leader="none"/>
        </w:tabs>
        <w:ind w:hanging="0" w:right="0"/>
        <w:rPr/>
      </w:pPr>
      <w:r>
        <w:rPr>
          <w:sz w:val="25"/>
          <w:szCs w:val="25"/>
        </w:rPr>
        <w:t xml:space="preserve">     </w:t>
      </w:r>
      <w:r>
        <w:rPr>
          <w:sz w:val="25"/>
          <w:szCs w:val="25"/>
        </w:rPr>
        <w:t xml:space="preserve">Безвозмездные поступления исполнены в 2025 году в сумме </w:t>
      </w:r>
      <w:r>
        <w:rPr>
          <w:color w:val="000000"/>
          <w:sz w:val="25"/>
          <w:szCs w:val="25"/>
        </w:rPr>
        <w:t>1 908 406,4</w:t>
      </w:r>
      <w:r>
        <w:rPr>
          <w:sz w:val="25"/>
          <w:szCs w:val="25"/>
        </w:rPr>
        <w:t xml:space="preserve"> тыс. руб., что составляет 99,2% от уточненного плана года и 103,1% от фактического поступления за 2024 год. В отчетном году поступило больше, чем в 2024 году безвозмездных поступлений на </w:t>
      </w:r>
      <w:r>
        <w:rPr>
          <w:sz w:val="25"/>
          <w:szCs w:val="25"/>
          <w:shd w:fill="auto" w:val="clear"/>
        </w:rPr>
        <w:t>58 131,1 тыс. руб.</w:t>
      </w:r>
    </w:p>
    <w:p>
      <w:pPr>
        <w:pStyle w:val="Normal"/>
        <w:ind w:hanging="0" w:right="0"/>
        <w:rPr>
          <w:sz w:val="25"/>
          <w:szCs w:val="25"/>
        </w:rPr>
      </w:pPr>
      <w:r>
        <w:rPr>
          <w:sz w:val="25"/>
          <w:szCs w:val="25"/>
        </w:rPr>
        <w:t xml:space="preserve">    </w:t>
      </w:r>
      <w:r>
        <w:rPr>
          <w:sz w:val="25"/>
          <w:szCs w:val="25"/>
        </w:rPr>
        <w:t>Доля собственных доходов в общем поступлении отчетного года составляет 14,9%, доля безвозмездных поступлений – 85,1%. Доля собственных доходов   в бюджете района, по сравнению с 2024 годом, увеличилась на 5,1%, доля безвозмездных поступлений в бюджете района, соответственно снизилась на указанный процент.</w:t>
      </w:r>
    </w:p>
    <w:p>
      <w:pPr>
        <w:pStyle w:val="Normal"/>
        <w:ind w:hanging="0" w:right="0"/>
        <w:rPr>
          <w:sz w:val="25"/>
          <w:szCs w:val="25"/>
        </w:rPr>
      </w:pPr>
      <w:r>
        <w:rPr>
          <w:sz w:val="25"/>
          <w:szCs w:val="25"/>
        </w:rPr>
      </w:r>
    </w:p>
    <w:p>
      <w:pPr>
        <w:pStyle w:val="Normal"/>
        <w:tabs>
          <w:tab w:val="clear" w:pos="720"/>
          <w:tab w:val="left" w:pos="709" w:leader="none"/>
          <w:tab w:val="left" w:pos="1080" w:leader="none"/>
        </w:tabs>
        <w:ind w:hanging="0" w:right="0"/>
        <w:rPr/>
      </w:pPr>
      <w:r>
        <w:rPr>
          <w:sz w:val="25"/>
          <w:szCs w:val="25"/>
        </w:rPr>
        <w:t>7. В соответствии со ст. 264.4 Бюджетного кодекса РФ Контрольно-счетной палатой муниципального образования «Тулунский район» проведена внешняя проверка бюджетной отчетности главных администраторов бюджетных средств за 2025 год.</w:t>
      </w:r>
    </w:p>
    <w:p>
      <w:pPr>
        <w:pStyle w:val="Normal"/>
        <w:tabs>
          <w:tab w:val="clear" w:pos="720"/>
          <w:tab w:val="left" w:pos="709" w:leader="none"/>
        </w:tabs>
        <w:ind w:hanging="0" w:right="0"/>
        <w:rPr/>
      </w:pPr>
      <w:r>
        <w:rPr>
          <w:color w:val="000000"/>
          <w:sz w:val="25"/>
          <w:szCs w:val="25"/>
        </w:rPr>
        <w:t xml:space="preserve">   </w:t>
      </w:r>
      <w:r>
        <w:rPr>
          <w:color w:val="000000"/>
          <w:sz w:val="25"/>
          <w:szCs w:val="25"/>
        </w:rPr>
        <w:t xml:space="preserve">В нарушение п.10 Приказа Минфина России от 15.11.2019г. № 184н «Об утверждении федерального стандарта бухгалтерского учета государственных финансов «Выплаты персоналу» в учетной политике Администрации Тулунского муниципального района отсутствует порядок расчетов резерва предстоящих расходов. </w:t>
      </w:r>
      <w:r>
        <w:rPr>
          <w:color w:val="000000"/>
          <w:sz w:val="25"/>
          <w:szCs w:val="25"/>
          <w:shd w:fill="FFFF00" w:val="clear"/>
        </w:rPr>
        <w:t xml:space="preserve"> </w:t>
      </w:r>
    </w:p>
    <w:p>
      <w:pPr>
        <w:pStyle w:val="Normal"/>
        <w:tabs>
          <w:tab w:val="clear" w:pos="720"/>
          <w:tab w:val="left" w:pos="709" w:leader="none"/>
          <w:tab w:val="left" w:pos="1080" w:leader="none"/>
        </w:tabs>
        <w:ind w:hanging="0" w:right="0"/>
        <w:rPr/>
      </w:pPr>
      <w:r>
        <w:rPr>
          <w:sz w:val="25"/>
          <w:szCs w:val="25"/>
        </w:rPr>
        <w:t xml:space="preserve">   </w:t>
      </w:r>
      <w:r>
        <w:rPr>
          <w:sz w:val="25"/>
          <w:szCs w:val="25"/>
        </w:rPr>
        <w:t xml:space="preserve">В нарушение ст.160.1 Бюджетного кодекса РФ, п.11 Приказа Комитета по финансам администрации Тулунского муниципального района от 16.12.2014г. </w:t>
      </w:r>
      <w:r>
        <w:rPr>
          <w:spacing w:val="20"/>
          <w:sz w:val="25"/>
          <w:szCs w:val="25"/>
        </w:rPr>
        <w:t>№791 (о.д.) «</w:t>
      </w:r>
      <w:r>
        <w:rPr>
          <w:sz w:val="25"/>
          <w:szCs w:val="25"/>
        </w:rPr>
        <w:t xml:space="preserve">О порядке составления и ведения кассового плана исполнения бюджета Тулунского муниципального района и бюджетов сельских поселений» (в ред. приказа Комитета по финансам администрации Тулунского муниципального района </w:t>
      </w:r>
      <w:r>
        <w:rPr>
          <w:rFonts w:eastAsia="Calibri"/>
          <w:sz w:val="25"/>
          <w:szCs w:val="25"/>
          <w:lang w:eastAsia="en-US"/>
        </w:rPr>
        <w:t>от 30.12.2020г. №154 (о.д.)), доходы за период с 01.12.2025г. по 24.12.2025г. в размере 389,9 тыс.руб. Администрацией Тулунского муниципального района при уточнении бюджета Тулунского муниципального района по состоянию на 25.12.2025г. не уточнены.</w:t>
      </w:r>
    </w:p>
    <w:p>
      <w:pPr>
        <w:pStyle w:val="Normal"/>
        <w:tabs>
          <w:tab w:val="left" w:pos="720" w:leader="none"/>
        </w:tabs>
        <w:spacing w:lineRule="atLeast" w:line="240" w:before="0" w:after="1"/>
        <w:ind w:hanging="0" w:right="0"/>
        <w:rPr/>
      </w:pPr>
      <w:r>
        <w:rPr>
          <w:rFonts w:eastAsia="Calibri"/>
          <w:color w:val="F10D0C"/>
          <w:sz w:val="25"/>
          <w:szCs w:val="25"/>
          <w:lang w:eastAsia="en-US"/>
        </w:rPr>
        <w:t xml:space="preserve">   </w:t>
      </w:r>
      <w:r>
        <w:rPr>
          <w:rStyle w:val="FontStyle29"/>
          <w:rFonts w:eastAsia="Calibri"/>
          <w:color w:val="302709"/>
          <w:sz w:val="25"/>
          <w:szCs w:val="25"/>
          <w:lang w:eastAsia="en-US"/>
        </w:rPr>
        <w:t>Комитетом по образованию администрации</w:t>
      </w:r>
      <w:r>
        <w:rPr>
          <w:rStyle w:val="FontStyle29"/>
          <w:rFonts w:eastAsia="Calibri"/>
          <w:color w:val="302709"/>
          <w:spacing w:val="11"/>
          <w:sz w:val="25"/>
          <w:szCs w:val="25"/>
          <w:lang w:eastAsia="en-US"/>
        </w:rPr>
        <w:t xml:space="preserve"> </w:t>
      </w:r>
      <w:r>
        <w:rPr>
          <w:rStyle w:val="FontStyle29"/>
          <w:rFonts w:eastAsia="Calibri"/>
          <w:color w:val="302709"/>
          <w:sz w:val="25"/>
          <w:szCs w:val="25"/>
          <w:lang w:eastAsia="en-US"/>
        </w:rPr>
        <w:t>Тулунского муниципального района не</w:t>
      </w:r>
      <w:r>
        <w:rPr>
          <w:rFonts w:eastAsia="Calibri"/>
          <w:color w:val="302709"/>
          <w:sz w:val="25"/>
          <w:szCs w:val="25"/>
          <w:lang w:eastAsia="en-US"/>
        </w:rPr>
        <w:t xml:space="preserve"> уточнены  прочие доходы от оказания платных услуг (работ) получателями средств бюджетов муниципальных районов (родительская плата) в сумме 591,1 тыс. руб.  </w:t>
      </w:r>
    </w:p>
    <w:p>
      <w:pPr>
        <w:pStyle w:val="Normal"/>
        <w:tabs>
          <w:tab w:val="left" w:pos="720" w:leader="none"/>
        </w:tabs>
        <w:spacing w:lineRule="atLeast" w:line="240" w:before="0" w:after="1"/>
        <w:ind w:hanging="0" w:right="0"/>
        <w:rPr/>
      </w:pPr>
      <w:r>
        <w:rPr>
          <w:rFonts w:eastAsia="Calibri"/>
          <w:color w:val="302709"/>
          <w:sz w:val="25"/>
          <w:szCs w:val="25"/>
          <w:lang w:eastAsia="en-US"/>
        </w:rPr>
        <w:t xml:space="preserve"> </w:t>
      </w:r>
      <w:r>
        <w:rPr>
          <w:rStyle w:val="FontStyle29"/>
          <w:rFonts w:eastAsia="Calibri"/>
          <w:color w:val="302709"/>
          <w:sz w:val="25"/>
          <w:szCs w:val="25"/>
          <w:lang w:eastAsia="en-US"/>
        </w:rPr>
        <w:t xml:space="preserve">Комитетом по </w:t>
      </w:r>
      <w:r>
        <w:rPr>
          <w:rFonts w:eastAsia="Calibri"/>
          <w:color w:val="302709"/>
          <w:sz w:val="25"/>
          <w:szCs w:val="25"/>
          <w:lang w:eastAsia="en-US"/>
        </w:rPr>
        <w:t xml:space="preserve">культуре, молодежной политике и спорту администрации Тулунского муниципального района при уточнении бюджета Тулунского муниципального района по состоянию на 25.12.2025г </w:t>
      </w:r>
      <w:r>
        <w:rPr>
          <w:rStyle w:val="FontStyle29"/>
          <w:rFonts w:eastAsia="Calibri"/>
          <w:color w:val="302709"/>
          <w:sz w:val="25"/>
          <w:szCs w:val="25"/>
          <w:lang w:eastAsia="en-US"/>
        </w:rPr>
        <w:t>не</w:t>
      </w:r>
      <w:r>
        <w:rPr>
          <w:rFonts w:eastAsia="Calibri"/>
          <w:color w:val="302709"/>
          <w:sz w:val="25"/>
          <w:szCs w:val="25"/>
          <w:lang w:eastAsia="en-US"/>
        </w:rPr>
        <w:t xml:space="preserve"> уточнены доходы по КВД 2.07.05020.05.0000.150 «Поступления от денежных пожертвований, предоставляемых физическими лицами получателям средств бюджетов муниципальных районов» за период с 01.12.2025г. по 19.12.2025г в сумме 6, 5 тыс. руб.; по КВД 1.13.01995.05.0003.130 «Прочие доходы от оказания платных услуг (работ) получателями средств бюджетов муниципальных районов (прочие поступления)» в сумме 15, 2 тыс. руб. </w:t>
      </w:r>
    </w:p>
    <w:p>
      <w:pPr>
        <w:pStyle w:val="Normal"/>
        <w:tabs>
          <w:tab w:val="left" w:pos="720" w:leader="none"/>
        </w:tabs>
        <w:rPr/>
      </w:pPr>
      <w:r>
        <w:rPr>
          <w:color w:val="000000"/>
          <w:sz w:val="25"/>
          <w:szCs w:val="25"/>
          <w:lang w:eastAsia="en-US"/>
        </w:rPr>
        <w:t xml:space="preserve"> </w:t>
      </w:r>
      <w:r>
        <w:rPr>
          <w:sz w:val="25"/>
          <w:szCs w:val="25"/>
        </w:rPr>
        <w:t>В нарушение статей 34, 160.1 Бюджетного кодекса РФ, общеобразовательными учреждениями, подведомственных Комитету по образованию администрации Тулунского муниципального района</w:t>
      </w:r>
      <w:r>
        <w:rPr>
          <w:color w:val="000000"/>
          <w:sz w:val="25"/>
          <w:szCs w:val="25"/>
        </w:rPr>
        <w:t xml:space="preserve">, </w:t>
      </w:r>
      <w:r>
        <w:rPr>
          <w:sz w:val="25"/>
          <w:szCs w:val="25"/>
        </w:rPr>
        <w:t>Комитетом по управлению муниципальным имуществом администрации Тулунского муниципального района и Комитетом по экономике и развитию предпринимательства администрации Тулунского муниципального района, Администрацией  Тулунско</w:t>
      </w:r>
      <w:r>
        <w:rPr>
          <w:sz w:val="25"/>
          <w:szCs w:val="25"/>
          <w:shd w:fill="FFFFFF" w:val="clear"/>
        </w:rPr>
        <w:t xml:space="preserve">го муниципального района, </w:t>
      </w:r>
      <w:r>
        <w:rPr>
          <w:color w:val="000000"/>
          <w:sz w:val="25"/>
          <w:szCs w:val="25"/>
          <w:shd w:fill="FFFFFF" w:val="clear"/>
          <w:lang w:eastAsia="en-US"/>
        </w:rPr>
        <w:t>п</w:t>
      </w:r>
      <w:r>
        <w:rPr>
          <w:rFonts w:eastAsia="Calibri"/>
          <w:color w:val="000000"/>
          <w:sz w:val="25"/>
          <w:szCs w:val="25"/>
          <w:shd w:fill="FFFFFF" w:val="clear"/>
          <w:lang w:eastAsia="en-US"/>
        </w:rPr>
        <w:t>о учреждениям, подведомственных Комитету по культуре, молодёжной политике и спорту администрации Тулунского муниципального района,</w:t>
      </w:r>
      <w:r>
        <w:rPr>
          <w:sz w:val="25"/>
          <w:szCs w:val="25"/>
          <w:shd w:fill="FFFFFF" w:val="clear"/>
        </w:rPr>
        <w:t xml:space="preserve"> как администраторами доходов бюджета, не надлежащим образом осуществляются бюджетные полномочия в части начисления, учета и контроля за правильностью исчисления, полнотой и своевременностью осуществления платежей в бюджет, пеней и штрафов по ним, допущены факты неэффективного использования бюджетных средств.</w:t>
      </w:r>
    </w:p>
    <w:p>
      <w:pPr>
        <w:pStyle w:val="Normal"/>
        <w:tabs>
          <w:tab w:val="clear" w:pos="720"/>
          <w:tab w:val="left" w:pos="709" w:leader="none"/>
          <w:tab w:val="left" w:pos="1620" w:leader="none"/>
        </w:tabs>
        <w:ind w:firstLine="708" w:right="0"/>
        <w:rPr/>
      </w:pPr>
      <w:r>
        <w:rPr>
          <w:color w:val="000000"/>
          <w:sz w:val="25"/>
          <w:szCs w:val="25"/>
        </w:rPr>
        <w:t xml:space="preserve">Так, при выборочной проверке своевременности поступления доходов в Комитете по управлению муниципальным имуществом администрации Тулунского муниципального района установлено, что в результате недостаточного контроля Комитетом за поступлением доходов, поступающих в виде арендной платы за использование земельных участков, по состоянию на 01.01.2026г. </w:t>
      </w:r>
      <w:r>
        <w:rPr>
          <w:sz w:val="25"/>
          <w:szCs w:val="25"/>
        </w:rPr>
        <w:t xml:space="preserve">дебиторская задолженность сложилась в сумме </w:t>
      </w:r>
      <w:r>
        <w:rPr>
          <w:sz w:val="25"/>
          <w:szCs w:val="25"/>
          <w:shd w:fill="FFFFFF" w:val="clear"/>
        </w:rPr>
        <w:t xml:space="preserve">3 790, 5 тыс. руб. </w:t>
      </w:r>
      <w:r>
        <w:rPr>
          <w:sz w:val="25"/>
          <w:szCs w:val="25"/>
        </w:rPr>
        <w:t xml:space="preserve"> Из общей суммы дебиторской задолженности — </w:t>
      </w:r>
      <w:r>
        <w:rPr>
          <w:sz w:val="25"/>
          <w:szCs w:val="25"/>
          <w:shd w:fill="FFFFFF" w:val="clear"/>
        </w:rPr>
        <w:t>3 624,4 тыс. руб.</w:t>
      </w:r>
      <w:r>
        <w:rPr>
          <w:sz w:val="25"/>
          <w:szCs w:val="25"/>
        </w:rPr>
        <w:t xml:space="preserve"> является просроченной задолженностью, в т.ч.</w:t>
      </w:r>
      <w:r>
        <w:rPr>
          <w:sz w:val="25"/>
          <w:szCs w:val="25"/>
          <w:shd w:fill="FFFFFF" w:val="clear"/>
        </w:rPr>
        <w:t xml:space="preserve"> по платежам при пользовании природными ресурсами (арендная плата за земельные участки в сумме </w:t>
      </w:r>
      <w:r>
        <w:rPr>
          <w:shd w:fill="FFFFFF" w:val="clear"/>
        </w:rPr>
        <w:t xml:space="preserve">2 702,0 тыс. руб.  (2016 год — 5, 9 тыс. руб. , 2017 год — 3,6 тыс. руб. , 2018 год — 195, 7 тыс. руб. , 2019 год — 211,6 тыс. руб. , 2020 год — 248,4 тыс. руб. , 2021 год — 289,8 тыс. руб., 2022 год —       307,6 тыс. руб. , 2023 год — 584,8 тыс. руб. , 2024 год — 294,1 тыс. руб. , 2025 год — 560,5 тыс. руб. ); по доходам от выбытия активов (продажа земельных участков) в сумме 1,2 тыс. руб. ; </w:t>
      </w:r>
      <w:r>
        <w:rPr/>
        <w:t xml:space="preserve"> по прочим доходам за невыполнение условий по договорным обязательствам (пени) в сумме 921,2 тыс. руб. </w:t>
      </w:r>
    </w:p>
    <w:p>
      <w:pPr>
        <w:pStyle w:val="Normal"/>
        <w:tabs>
          <w:tab w:val="clear" w:pos="720"/>
          <w:tab w:val="left" w:pos="709" w:leader="none"/>
          <w:tab w:val="left" w:pos="1620" w:leader="none"/>
        </w:tabs>
        <w:ind w:firstLine="708" w:right="0"/>
        <w:rPr/>
      </w:pPr>
      <w:r>
        <w:rPr>
          <w:color w:val="000000"/>
          <w:sz w:val="25"/>
          <w:szCs w:val="25"/>
          <w:lang w:eastAsia="en-US"/>
        </w:rPr>
        <w:t>Просроченная дебиторская задолженность образовалась за счет неисполнения обязательств по договорам аренды земельных участков Арендаторами,</w:t>
      </w:r>
      <w:r>
        <w:rPr>
          <w:color w:val="000000"/>
          <w:sz w:val="25"/>
          <w:szCs w:val="25"/>
          <w:shd w:fill="FFFFFF" w:val="clear"/>
          <w:lang w:eastAsia="en-US"/>
        </w:rPr>
        <w:t xml:space="preserve"> по прочим доходам за невыполнение условий по договорным обязательствам (пени).</w:t>
      </w:r>
      <w:r>
        <w:rPr>
          <w:sz w:val="25"/>
          <w:szCs w:val="25"/>
        </w:rPr>
        <w:t xml:space="preserve"> </w:t>
      </w:r>
    </w:p>
    <w:p>
      <w:pPr>
        <w:pStyle w:val="Normal"/>
        <w:tabs>
          <w:tab w:val="clear" w:pos="720"/>
          <w:tab w:val="left" w:pos="709" w:leader="none"/>
          <w:tab w:val="left" w:pos="1620" w:leader="none"/>
        </w:tabs>
        <w:ind w:firstLine="708" w:right="0"/>
        <w:rPr/>
      </w:pPr>
      <w:r>
        <w:rPr>
          <w:sz w:val="25"/>
          <w:szCs w:val="25"/>
        </w:rPr>
        <w:t>По Администрации Тулунского муниципального района д</w:t>
      </w:r>
      <w:r>
        <w:rPr>
          <w:sz w:val="25"/>
          <w:szCs w:val="25"/>
          <w:shd w:fill="FFFFFF" w:val="clear"/>
        </w:rPr>
        <w:t>ебиторская задолженность на 01.01.2026 года составляет 14,9 тыс. руб.  Из сложившейся дебиторской задолженности —</w:t>
      </w:r>
      <w:r>
        <w:rPr>
          <w:sz w:val="25"/>
          <w:szCs w:val="25"/>
        </w:rPr>
        <w:t xml:space="preserve"> 2,9 тыс. руб. является просроченной задолженностью, а именно :  предоплата за услуги связи в январе 2017 года АО «ЭР-Телеком Холдинг».</w:t>
      </w:r>
    </w:p>
    <w:p>
      <w:pPr>
        <w:pStyle w:val="Normal"/>
        <w:tabs>
          <w:tab w:val="clear" w:pos="720"/>
          <w:tab w:val="left" w:pos="709" w:leader="none"/>
          <w:tab w:val="left" w:pos="1620" w:leader="none"/>
        </w:tabs>
        <w:ind w:firstLine="708" w:right="0"/>
        <w:rPr/>
      </w:pPr>
      <w:r>
        <w:rPr>
          <w:sz w:val="25"/>
          <w:szCs w:val="25"/>
          <w:shd w:fill="FFFFFF" w:val="clear"/>
        </w:rPr>
        <w:t>По Комитету по экономике и развитию предпринимательства администрации Тулунского муниципального района дебиторская задолженность на 01.01.2026 года составляет 190,3 тыс. руб. Из сложившейся дебиторской задолженности —</w:t>
      </w:r>
      <w:r>
        <w:rPr>
          <w:sz w:val="25"/>
          <w:szCs w:val="25"/>
        </w:rPr>
        <w:t xml:space="preserve"> 116,2 тыс. руб. является просроченной задолженностью, а именно: </w:t>
      </w:r>
      <w:r>
        <w:rPr>
          <w:sz w:val="25"/>
          <w:szCs w:val="25"/>
          <w:shd w:fill="FFFFFF" w:val="clear"/>
        </w:rPr>
        <w:t xml:space="preserve">по арендной плате за нежилые помещения в сумме 82,1тыс.руб. (АО «ЭР-Телеком Холдинг»), в т.ч. в сумме 3,0 тыс. руб.  (2018г.), в сумме 79,1 тыс. руб.  (с августа по декабрь 2025г.); по расчетам за возмещение коммунальных услуг в сумме 29,5 тыс. руб.  (АО «ЭР-Телеком Холдинг»  в сумме 19,7 тыс.руб. (декабрь 2017г., апрель 2024г., июль-декабрь 2025г.), ОГБУЗ «Тулунская районная больница» в сумме 8,7 тыс. руб. (ноябрь 2015г.), ПАО «Ростелеком» в общей сумме 1,1 тыс. руб.  (ноябрь 2021г.); расчеты по доходам от штрафных санкций за нарушение законодательства о закупках в сумме 4, 6 тыс. руб.  (АО «ЭР-Телеком Холдинг»). </w:t>
        <w:tab/>
        <w:tab/>
      </w:r>
    </w:p>
    <w:p>
      <w:pPr>
        <w:pStyle w:val="Normal"/>
        <w:tabs>
          <w:tab w:val="clear" w:pos="720"/>
          <w:tab w:val="left" w:pos="709" w:leader="none"/>
          <w:tab w:val="left" w:pos="1620" w:leader="none"/>
        </w:tabs>
        <w:ind w:firstLine="708" w:right="0"/>
        <w:rPr/>
      </w:pPr>
      <w:r>
        <w:rPr>
          <w:sz w:val="25"/>
          <w:szCs w:val="25"/>
          <w:shd w:fill="FFFFFF" w:val="clear"/>
        </w:rPr>
        <w:t xml:space="preserve">Комитетом по экономике и развитию предпринимательства администрации Тулунского муниципального района </w:t>
      </w:r>
      <w:bookmarkStart w:id="12" w:name="__DdeLink__13322_18676228832"/>
      <w:r>
        <w:rPr>
          <w:sz w:val="25"/>
          <w:szCs w:val="25"/>
          <w:shd w:fill="FFFFFF" w:val="clear"/>
        </w:rPr>
        <w:t>меры по ликвидации просроченной задолженности не приняты.</w:t>
      </w:r>
      <w:bookmarkEnd w:id="12"/>
    </w:p>
    <w:p>
      <w:pPr>
        <w:pStyle w:val="Normal"/>
        <w:spacing w:lineRule="atLeast" w:line="100"/>
        <w:ind w:firstLine="708" w:right="0"/>
        <w:rPr/>
      </w:pPr>
      <w:r>
        <w:rPr>
          <w:color w:val="000000"/>
          <w:sz w:val="25"/>
          <w:szCs w:val="25"/>
        </w:rPr>
        <w:t>По учреждениям, подведомственных Комитету по образованию администрации Тулунского муниципального района, дебиторская задолженность на 01.01.2026 года сложилась в сумме 480,3 тыс. руб., из них просроченная д</w:t>
      </w:r>
      <w:r>
        <w:rPr>
          <w:sz w:val="25"/>
          <w:szCs w:val="25"/>
        </w:rPr>
        <w:t>ебиторская задолженность по расчетам по доходам составляет в сумме 149,8 тыс. руб. за 2025 год ,</w:t>
      </w:r>
      <w:r>
        <w:rPr>
          <w:rStyle w:val="FontStyle29"/>
          <w:rFonts w:eastAsia="Calibri"/>
          <w:sz w:val="25"/>
          <w:szCs w:val="25"/>
          <w:lang w:eastAsia="en-US"/>
        </w:rPr>
        <w:t xml:space="preserve">  </w:t>
      </w:r>
      <w:r>
        <w:rPr>
          <w:sz w:val="25"/>
          <w:szCs w:val="25"/>
        </w:rPr>
        <w:t>образовалась в результате неуплаты родительской платы за присмотр и уход за детьми, осваивающими образовательные программы дошкольного образования в дошкольных учреждениях. Общеобразовательными учреждениями, подведомственных Комитету по образованию администрации Тулунского муниципального района, как администраторами доходов бюджета, не надлежащим образом осуществляются бюджетные полномочия в части начисления, учета и контроля за правильностью исчисления, полнотой и своевременностью осуществления платежей в бюджет.</w:t>
      </w:r>
    </w:p>
    <w:p>
      <w:pPr>
        <w:pStyle w:val="Normal"/>
        <w:spacing w:lineRule="atLeast" w:line="100"/>
        <w:ind w:hanging="0" w:right="0"/>
        <w:rPr/>
      </w:pPr>
      <w:r>
        <w:rPr>
          <w:sz w:val="25"/>
          <w:szCs w:val="25"/>
        </w:rPr>
        <w:t xml:space="preserve">  </w:t>
      </w:r>
      <w:r>
        <w:rPr>
          <w:sz w:val="25"/>
          <w:szCs w:val="25"/>
        </w:rPr>
        <w:t xml:space="preserve">По МКУ «Спортивная школа» Тулунского  муниципального района </w:t>
      </w:r>
      <w:r>
        <w:rPr>
          <w:color w:val="000000"/>
          <w:sz w:val="25"/>
          <w:szCs w:val="25"/>
        </w:rPr>
        <w:t xml:space="preserve">дебиторская задолженность на 01.01.2026 года сложилась в сумме </w:t>
      </w:r>
      <w:r>
        <w:rPr>
          <w:sz w:val="25"/>
          <w:szCs w:val="25"/>
        </w:rPr>
        <w:t xml:space="preserve"> 552,4 тыс. руб.,  из них просроченная дебиторская задолженность  в сумме 510,7 тыс. руб., образовалась в результате перечисления аванса в счет оплаты за отпуск тепловой энергии МУСХП «Центральное». МКУ «Спортивная школа» Тулунского  муниципального района м</w:t>
      </w:r>
      <w:r>
        <w:rPr>
          <w:color w:val="000000"/>
          <w:sz w:val="25"/>
          <w:szCs w:val="25"/>
          <w:lang w:eastAsia="en-US"/>
        </w:rPr>
        <w:t>еры по ликвидации просроченной задолженности не приняты</w:t>
      </w:r>
      <w:r>
        <w:rPr>
          <w:color w:val="000000"/>
          <w:sz w:val="25"/>
          <w:szCs w:val="25"/>
          <w:shd w:fill="FFFFFF" w:val="clear"/>
          <w:lang w:eastAsia="en-US"/>
        </w:rPr>
        <w:t>.</w:t>
      </w:r>
      <w:r>
        <w:rPr>
          <w:color w:val="000000"/>
          <w:sz w:val="25"/>
          <w:szCs w:val="25"/>
          <w:shd w:fill="FFFF00" w:val="clear"/>
          <w:lang w:eastAsia="en-US"/>
        </w:rPr>
        <w:t xml:space="preserve"> </w:t>
      </w:r>
    </w:p>
    <w:p>
      <w:pPr>
        <w:pStyle w:val="Normal"/>
        <w:spacing w:lineRule="atLeast" w:line="100"/>
        <w:ind w:hanging="0" w:right="0"/>
        <w:rPr/>
      </w:pPr>
      <w:r>
        <w:rPr>
          <w:sz w:val="25"/>
          <w:szCs w:val="25"/>
          <w:shd w:fill="FFFFFF" w:val="clear"/>
        </w:rPr>
        <w:t xml:space="preserve"> </w:t>
      </w:r>
      <w:r>
        <w:rPr>
          <w:color w:val="302709"/>
          <w:sz w:val="25"/>
          <w:szCs w:val="25"/>
          <w:shd w:fill="FFFFFF" w:val="clear"/>
        </w:rPr>
        <w:t xml:space="preserve">  </w:t>
      </w:r>
      <w:r>
        <w:rPr>
          <w:color w:val="302709"/>
          <w:sz w:val="25"/>
          <w:szCs w:val="25"/>
          <w:shd w:fill="FFFFFF" w:val="clear"/>
        </w:rPr>
        <w:t>По МКУК «МДК Прометей» дебиторская задолженность на 01.01.2026 года сложилась в сумме 11,0 тыс. руб., том числе просроченная дебиторская задолженность  в сумме 11,0 тыс.руб., по выданным авансам по  оплате за ГСМ (ООО «РН-Карт»).</w:t>
      </w:r>
      <w:r>
        <w:rPr>
          <w:sz w:val="25"/>
          <w:szCs w:val="25"/>
          <w:shd w:fill="FFFFFF" w:val="clear"/>
        </w:rPr>
        <w:t xml:space="preserve"> </w:t>
      </w:r>
    </w:p>
    <w:p>
      <w:pPr>
        <w:pStyle w:val="Normal"/>
        <w:tabs>
          <w:tab w:val="left" w:pos="720" w:leader="none"/>
        </w:tabs>
        <w:rPr/>
      </w:pPr>
      <w:r>
        <w:rPr>
          <w:rFonts w:eastAsia="Calibri"/>
          <w:sz w:val="25"/>
          <w:szCs w:val="25"/>
          <w:shd w:fill="FFFFFF" w:val="clear"/>
          <w:lang w:eastAsia="en-US"/>
        </w:rPr>
        <w:t xml:space="preserve">В нарушение статьи 34 Бюджетного кодекса РФ, учреждениями района </w:t>
      </w:r>
      <w:r>
        <w:rPr>
          <w:color w:val="000000"/>
          <w:sz w:val="25"/>
          <w:szCs w:val="25"/>
          <w:shd w:fill="FFFFFF" w:val="clear"/>
          <w:lang w:eastAsia="en-US"/>
        </w:rPr>
        <w:t>допущено неэффективное использование бюджетных средств в части оплаты штрафа, пени на общую сумму 1 199,8</w:t>
      </w:r>
      <w:r>
        <w:rPr>
          <w:color w:val="000000"/>
          <w:sz w:val="25"/>
          <w:szCs w:val="25"/>
          <w:lang w:eastAsia="en-US"/>
        </w:rPr>
        <w:t xml:space="preserve"> тыс. руб.,</w:t>
      </w:r>
      <w:r>
        <w:rPr>
          <w:color w:val="000000"/>
          <w:sz w:val="25"/>
          <w:szCs w:val="25"/>
          <w:shd w:fill="FFFFFF" w:val="clear"/>
          <w:lang w:eastAsia="en-US"/>
        </w:rPr>
        <w:t xml:space="preserve"> в том числе: п</w:t>
      </w:r>
      <w:r>
        <w:rPr>
          <w:rFonts w:eastAsia="Calibri"/>
          <w:color w:val="000000"/>
          <w:sz w:val="25"/>
          <w:szCs w:val="25"/>
          <w:shd w:fill="FFFFFF" w:val="clear"/>
          <w:lang w:eastAsia="en-US"/>
        </w:rPr>
        <w:t xml:space="preserve">о учреждениям, подведомственных Комитету по образованию администрации Тулунского муниципального района в сумме 388, тыс. руб.; </w:t>
      </w:r>
      <w:r>
        <w:rPr>
          <w:color w:val="000000"/>
          <w:sz w:val="25"/>
          <w:szCs w:val="25"/>
          <w:shd w:fill="FFFFFF" w:val="clear"/>
          <w:lang w:eastAsia="en-US"/>
        </w:rPr>
        <w:t>п</w:t>
      </w:r>
      <w:r>
        <w:rPr>
          <w:rFonts w:eastAsia="Calibri"/>
          <w:color w:val="000000"/>
          <w:sz w:val="25"/>
          <w:szCs w:val="25"/>
          <w:shd w:fill="FFFFFF" w:val="clear"/>
          <w:lang w:eastAsia="en-US"/>
        </w:rPr>
        <w:t xml:space="preserve">о учреждениям, подведомственных Администрации Тулунского муниципального района в сумме 669,8 тыс. руб.; </w:t>
      </w:r>
      <w:r>
        <w:rPr>
          <w:color w:val="000000"/>
          <w:sz w:val="25"/>
          <w:szCs w:val="25"/>
          <w:shd w:fill="FFFFFF" w:val="clear"/>
          <w:lang w:eastAsia="en-US"/>
        </w:rPr>
        <w:t>п</w:t>
      </w:r>
      <w:r>
        <w:rPr>
          <w:rFonts w:eastAsia="Calibri"/>
          <w:color w:val="000000"/>
          <w:sz w:val="25"/>
          <w:szCs w:val="25"/>
          <w:shd w:fill="FFFFFF" w:val="clear"/>
          <w:lang w:eastAsia="en-US"/>
        </w:rPr>
        <w:t>о учреждениям, подведомственных Комитету по культуре, молодёжной политике и спорту администрации Тулунского муниципального района в сумме</w:t>
      </w:r>
      <w:r>
        <w:rPr>
          <w:rFonts w:eastAsia="Calibri"/>
          <w:color w:val="000000"/>
          <w:sz w:val="25"/>
          <w:szCs w:val="25"/>
          <w:lang w:eastAsia="en-US"/>
        </w:rPr>
        <w:t xml:space="preserve">  142,0 тыс. руб.</w:t>
      </w:r>
    </w:p>
    <w:p>
      <w:pPr>
        <w:pStyle w:val="Normal"/>
        <w:tabs>
          <w:tab w:val="left" w:pos="720" w:leader="none"/>
        </w:tabs>
        <w:rPr>
          <w:rFonts w:eastAsia="Calibri"/>
          <w:color w:val="000000"/>
          <w:sz w:val="25"/>
          <w:szCs w:val="25"/>
          <w:lang w:eastAsia="en-US"/>
        </w:rPr>
      </w:pPr>
      <w:r>
        <w:rPr>
          <w:rFonts w:eastAsia="Calibri"/>
          <w:color w:val="000000"/>
          <w:sz w:val="25"/>
          <w:szCs w:val="25"/>
          <w:lang w:eastAsia="en-US"/>
        </w:rPr>
      </w:r>
    </w:p>
    <w:p>
      <w:pPr>
        <w:pStyle w:val="Normal"/>
        <w:tabs>
          <w:tab w:val="clear" w:pos="720"/>
          <w:tab w:val="left" w:pos="709" w:leader="none"/>
        </w:tabs>
        <w:ind w:firstLine="113" w:right="170"/>
        <w:rPr>
          <w:sz w:val="25"/>
          <w:szCs w:val="25"/>
        </w:rPr>
      </w:pPr>
      <w:r>
        <w:rPr>
          <w:sz w:val="25"/>
          <w:szCs w:val="25"/>
        </w:rPr>
        <w:t xml:space="preserve">8. Расходы бюджета района исполнены в сумме 2 242 232,9 тыс. руб. или 98,8% от показателей, утвержденных уточненной сводной бюджетной росписью. </w:t>
      </w:r>
    </w:p>
    <w:p>
      <w:pPr>
        <w:pStyle w:val="Normal"/>
        <w:tabs>
          <w:tab w:val="clear" w:pos="720"/>
          <w:tab w:val="left" w:pos="709" w:leader="none"/>
          <w:tab w:val="left" w:pos="1080" w:leader="none"/>
        </w:tabs>
        <w:ind w:hanging="0" w:right="0"/>
        <w:rPr/>
      </w:pPr>
      <w:r>
        <w:rPr>
          <w:b/>
          <w:sz w:val="25"/>
          <w:szCs w:val="25"/>
        </w:rPr>
        <w:t xml:space="preserve">  </w:t>
      </w:r>
      <w:r>
        <w:rPr>
          <w:sz w:val="25"/>
          <w:szCs w:val="25"/>
        </w:rPr>
        <w:t xml:space="preserve">В основном, по разделам функциональной классификации расходов бюджетов Российской Федерации, за 2025 год сложилась экономия бюджетных ассигнований на общую сумму 27 513,3 тыс. руб. или 1,2% от общей суммы расходов, за исключением разделов </w:t>
      </w:r>
      <w:r>
        <w:rPr/>
        <w:t xml:space="preserve">«Физическая культура и спорт», «Средства массовой информации» и </w:t>
      </w:r>
      <w:r>
        <w:rPr>
          <w:sz w:val="25"/>
          <w:szCs w:val="25"/>
        </w:rPr>
        <w:t>«Межбюджетные трансферты общего характера бюджетам бюджетной системы Российской Федерации», по которым освоение бюджетных ассигнований составило 100%.</w:t>
      </w:r>
    </w:p>
    <w:p>
      <w:pPr>
        <w:pStyle w:val="Normal"/>
        <w:tabs>
          <w:tab w:val="clear" w:pos="720"/>
          <w:tab w:val="left" w:pos="709" w:leader="none"/>
          <w:tab w:val="left" w:pos="1080" w:leader="none"/>
        </w:tabs>
        <w:ind w:hanging="0" w:right="0"/>
        <w:rPr>
          <w:sz w:val="25"/>
          <w:szCs w:val="25"/>
        </w:rPr>
      </w:pPr>
      <w:r>
        <w:rPr>
          <w:sz w:val="25"/>
          <w:szCs w:val="25"/>
        </w:rPr>
      </w:r>
    </w:p>
    <w:p>
      <w:pPr>
        <w:pStyle w:val="Normal"/>
        <w:tabs>
          <w:tab w:val="clear" w:pos="720"/>
          <w:tab w:val="left" w:pos="1080" w:leader="none"/>
        </w:tabs>
        <w:ind w:hanging="0" w:right="176"/>
        <w:rPr/>
      </w:pPr>
      <w:r>
        <w:rPr>
          <w:sz w:val="25"/>
          <w:szCs w:val="25"/>
        </w:rPr>
        <w:t>9. В соответствии с ведомственной структурой расходов бюджета исполнение бюджета по расходам осуществляли пять  главных распорядителей бюджетных средств.</w:t>
      </w:r>
    </w:p>
    <w:p>
      <w:pPr>
        <w:pStyle w:val="Normal"/>
        <w:tabs>
          <w:tab w:val="clear" w:pos="720"/>
          <w:tab w:val="left" w:pos="709" w:leader="none"/>
        </w:tabs>
        <w:spacing w:before="0" w:after="0"/>
        <w:ind w:firstLine="227" w:right="0"/>
        <w:contextualSpacing/>
        <w:rPr>
          <w:rFonts w:eastAsia="Calibri"/>
          <w:sz w:val="28"/>
          <w:szCs w:val="28"/>
        </w:rPr>
      </w:pPr>
      <w:r>
        <w:rPr>
          <w:rFonts w:eastAsia="Calibri"/>
          <w:sz w:val="28"/>
          <w:szCs w:val="28"/>
        </w:rPr>
        <w:t xml:space="preserve"> </w:t>
      </w:r>
      <w:r>
        <w:rPr>
          <w:rFonts w:eastAsia="Calibri"/>
          <w:sz w:val="25"/>
          <w:szCs w:val="25"/>
        </w:rPr>
        <w:t>Наибольший процент исполнения бюджетных ассигнований у Комитета по финансам администрации Тулунского муниципального района-99,7%, Комитета  по культуре, молодежной политике и спорту администрации Тулунского муниципального района -99,5%; Комитета  по образованию администрации Тулунского муниципального района -99,2%.</w:t>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pPr>
      <w:r>
        <w:rPr>
          <w:sz w:val="25"/>
          <w:szCs w:val="25"/>
        </w:rPr>
        <w:t xml:space="preserve">10.  На 2025 год бюджет района сформирован в программной структуре расходов по 7 муниципальным программам. Сводной бюджетной росписью расходы на муниципальные программы предусмотрены в сумме </w:t>
      </w:r>
      <w:r>
        <w:rPr>
          <w:color w:val="000000"/>
          <w:sz w:val="25"/>
          <w:szCs w:val="25"/>
        </w:rPr>
        <w:t>2 261 257,4</w:t>
      </w:r>
      <w:r>
        <w:rPr>
          <w:sz w:val="25"/>
          <w:szCs w:val="25"/>
        </w:rPr>
        <w:t xml:space="preserve"> тыс. руб. или 99,6 % в общем объеме расходов бюджета. Освоение бюджетных ассигнований на реализацию муниципальных программ Тулунского муниципального района за 2025 год составило</w:t>
      </w:r>
    </w:p>
    <w:p>
      <w:pPr>
        <w:pStyle w:val="Normal"/>
        <w:tabs>
          <w:tab w:val="clear" w:pos="720"/>
          <w:tab w:val="left" w:pos="1080" w:leader="none"/>
        </w:tabs>
        <w:ind w:hanging="0" w:right="176"/>
        <w:rPr/>
      </w:pPr>
      <w:r>
        <w:rPr>
          <w:sz w:val="25"/>
          <w:szCs w:val="25"/>
        </w:rPr>
        <w:t xml:space="preserve"> </w:t>
      </w:r>
      <w:r>
        <w:rPr>
          <w:color w:val="000000"/>
          <w:sz w:val="25"/>
          <w:szCs w:val="25"/>
        </w:rPr>
        <w:t xml:space="preserve">2 233 876,8 </w:t>
      </w:r>
      <w:r>
        <w:rPr>
          <w:sz w:val="25"/>
          <w:szCs w:val="25"/>
        </w:rPr>
        <w:t>тыс. руб. или 98,8% к плану, сумма неосвоенных бюджетных ассигнований в рамках программ составила 27 380,6 тыс. руб.</w:t>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 w:val="left" w:pos="2325" w:leader="none"/>
          <w:tab w:val="left" w:pos="2829" w:leader="none"/>
          <w:tab w:val="left" w:pos="3964" w:leader="none"/>
        </w:tabs>
        <w:ind w:hanging="0" w:right="176"/>
        <w:rPr>
          <w:sz w:val="25"/>
          <w:szCs w:val="25"/>
        </w:rPr>
      </w:pPr>
      <w:r>
        <w:rPr>
          <w:sz w:val="25"/>
          <w:szCs w:val="25"/>
        </w:rPr>
        <w:t xml:space="preserve">11. По результатам проведенной оценки реализации муниципальных программ  </w:t>
      </w:r>
      <w:r>
        <w:rPr>
          <w:color w:val="34343C"/>
          <w:sz w:val="23"/>
          <w:szCs w:val="25"/>
        </w:rPr>
        <w:t xml:space="preserve"> </w:t>
      </w:r>
      <w:r>
        <w:rPr>
          <w:color w:val="34343C"/>
          <w:sz w:val="23"/>
          <w:szCs w:val="25"/>
          <w:u w:val="single"/>
        </w:rPr>
        <w:t xml:space="preserve">три программы </w:t>
      </w:r>
      <w:r>
        <w:rPr>
          <w:color w:val="34343C"/>
          <w:sz w:val="25"/>
          <w:szCs w:val="25"/>
          <w:u w:val="single"/>
        </w:rPr>
        <w:t xml:space="preserve"> признаны  высокоэффективными</w:t>
      </w:r>
      <w:r>
        <w:rPr>
          <w:color w:val="34343C"/>
          <w:sz w:val="25"/>
          <w:szCs w:val="25"/>
        </w:rPr>
        <w:t xml:space="preserve"> (муниципальная программа "Развитие культуры в Тулунском районе" на 2021 - 2026 годы; </w:t>
      </w:r>
      <w:r>
        <w:rPr>
          <w:sz w:val="25"/>
          <w:szCs w:val="25"/>
        </w:rPr>
        <w:t xml:space="preserve">муниципальная программа "Развитие физической культуры и спорта, молодежной политики, формирование здорового и безопасного образа жизни на территории Тулунского муниципального района" на 2024-2026 годы; </w:t>
      </w:r>
      <w:r>
        <w:rPr>
          <w:color w:val="34343C"/>
          <w:sz w:val="25"/>
          <w:szCs w:val="25"/>
        </w:rPr>
        <w:t xml:space="preserve">муниципальная программа "Развитие образования на территории Тулунского муниципального района на 2020-2027гг.), </w:t>
      </w:r>
      <w:r>
        <w:rPr>
          <w:color w:val="34343C"/>
          <w:sz w:val="25"/>
          <w:szCs w:val="25"/>
          <w:u w:val="single"/>
        </w:rPr>
        <w:t>одна программа признана эффективной</w:t>
      </w:r>
      <w:r>
        <w:rPr>
          <w:color w:val="34343C"/>
          <w:sz w:val="25"/>
          <w:szCs w:val="25"/>
        </w:rPr>
        <w:t xml:space="preserve"> </w:t>
      </w:r>
      <w:r>
        <w:rPr>
          <w:color w:val="34343C"/>
          <w:sz w:val="25"/>
          <w:szCs w:val="25"/>
          <w:u w:val="single"/>
        </w:rPr>
        <w:t>(</w:t>
      </w:r>
      <w:r>
        <w:rPr>
          <w:color w:val="34343C"/>
          <w:sz w:val="25"/>
          <w:szCs w:val="25"/>
        </w:rPr>
        <w:t xml:space="preserve">муниципальная программа "Управление финансами Тулунского муниципального района" на 2020-2026 годы); </w:t>
      </w:r>
      <w:r>
        <w:rPr>
          <w:color w:val="34343C"/>
          <w:sz w:val="25"/>
          <w:szCs w:val="25"/>
          <w:u w:val="single"/>
        </w:rPr>
        <w:t xml:space="preserve">две программы признаны  с удовлетворительным  </w:t>
      </w:r>
      <w:r>
        <w:rPr>
          <w:color w:val="302709"/>
          <w:sz w:val="25"/>
          <w:szCs w:val="25"/>
          <w:u w:val="single"/>
        </w:rPr>
        <w:t xml:space="preserve">уровнем </w:t>
      </w:r>
      <w:r>
        <w:rPr/>
        <w:t>эффективности:</w:t>
      </w:r>
      <w:r>
        <w:rPr>
          <w:color w:val="302709"/>
          <w:sz w:val="25"/>
          <w:szCs w:val="25"/>
        </w:rPr>
        <w:t>(муниципальная программа "Экономическое развитие Тулунского муниципального района" на 2021-2026 годы;</w:t>
      </w:r>
      <w:r>
        <w:rPr>
          <w:color w:val="34343C"/>
          <w:sz w:val="25"/>
          <w:szCs w:val="25"/>
        </w:rPr>
        <w:t xml:space="preserve"> муниципальная программа "Развитие инфраструктуры на территории Тулунского муниципального района" на 2021-2026 гг).</w:t>
      </w:r>
    </w:p>
    <w:p>
      <w:pPr>
        <w:pStyle w:val="Normal"/>
        <w:tabs>
          <w:tab w:val="clear" w:pos="720"/>
          <w:tab w:val="left" w:pos="1080" w:leader="none"/>
        </w:tabs>
        <w:ind w:firstLine="283" w:right="170"/>
        <w:rPr/>
      </w:pPr>
      <w:r>
        <w:rPr>
          <w:color w:val="34343C"/>
          <w:sz w:val="25"/>
          <w:szCs w:val="25"/>
        </w:rPr>
        <w:t>При проведении оценки эффективности реализации муниципальных программ Тулунского муниципального района  за 2025 год неэффективных программ признано не было.</w:t>
      </w:r>
    </w:p>
    <w:p>
      <w:pPr>
        <w:pStyle w:val="Normal"/>
        <w:tabs>
          <w:tab w:val="clear" w:pos="720"/>
          <w:tab w:val="left" w:pos="1080" w:leader="none"/>
        </w:tabs>
        <w:ind w:hanging="0" w:right="176"/>
        <w:rPr>
          <w:color w:val="34343C"/>
          <w:sz w:val="25"/>
          <w:szCs w:val="25"/>
        </w:rPr>
      </w:pPr>
      <w:r>
        <w:rPr>
          <w:color w:val="34343C"/>
          <w:sz w:val="25"/>
          <w:szCs w:val="25"/>
        </w:rPr>
        <w:t xml:space="preserve"> </w:t>
      </w:r>
      <w:r>
        <w:rPr>
          <w:color w:val="34343C"/>
          <w:sz w:val="25"/>
          <w:szCs w:val="25"/>
        </w:rPr>
        <w:t>Представленные  программы планируются к реализации в 2026 году и плановом периоде 2027-2028 годов.</w:t>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709" w:leader="none"/>
          <w:tab w:val="left" w:pos="1080" w:leader="none"/>
        </w:tabs>
        <w:ind w:hanging="0" w:right="0"/>
        <w:rPr>
          <w:sz w:val="25"/>
          <w:szCs w:val="25"/>
        </w:rPr>
      </w:pPr>
      <w:r>
        <w:rPr>
          <w:sz w:val="25"/>
          <w:szCs w:val="25"/>
        </w:rPr>
        <w:t xml:space="preserve">12. </w:t>
      </w:r>
      <w:r>
        <w:rPr>
          <w:rFonts w:eastAsia="Calibri"/>
          <w:color w:val="333333"/>
          <w:sz w:val="25"/>
          <w:szCs w:val="25"/>
          <w:shd w:fill="FFFFFF" w:val="clear"/>
        </w:rPr>
        <w:t xml:space="preserve">Денежные обязательства по судебным решениям судов судебной системы Российской Федерации в отчетном периоде приняты и исполнены на сумму 462,8 тыс. рублей. </w:t>
      </w:r>
      <w:r>
        <w:rPr>
          <w:rFonts w:eastAsia="Courier New"/>
          <w:color w:val="333333"/>
          <w:sz w:val="25"/>
          <w:szCs w:val="25"/>
          <w:shd w:fill="FFFFFF" w:val="clear"/>
        </w:rPr>
        <w:t>Исполнительные листы – 2 шт. к</w:t>
      </w:r>
      <w:r>
        <w:rPr>
          <w:rFonts w:eastAsia="Calibri"/>
          <w:color w:val="333333"/>
          <w:sz w:val="25"/>
          <w:szCs w:val="25"/>
          <w:shd w:fill="FFFFFF" w:val="clear"/>
        </w:rPr>
        <w:t xml:space="preserve"> </w:t>
      </w:r>
      <w:r>
        <w:rPr>
          <w:rFonts w:eastAsia="Courier New"/>
          <w:color w:val="333333"/>
          <w:sz w:val="25"/>
          <w:szCs w:val="25"/>
          <w:shd w:fill="FFFFFF" w:val="clear"/>
        </w:rPr>
        <w:t>МОУ "Шерагульская ООШ" и Администрации Тулунского муниципального района; Постановление мирового судьи судебного участок № 89 г. Тулуна и Тулунского района Иркутской области -1 шт. к МОУ "Икейская СОШ").  Исполнительные документы по состоянию на 01.01.2026 исполнены в полном объеме.</w:t>
      </w:r>
    </w:p>
    <w:p>
      <w:pPr>
        <w:pStyle w:val="Normal"/>
        <w:tabs>
          <w:tab w:val="clear" w:pos="720"/>
          <w:tab w:val="left" w:pos="709" w:leader="none"/>
          <w:tab w:val="left" w:pos="1080" w:leader="none"/>
        </w:tabs>
        <w:ind w:hanging="0" w:right="0"/>
        <w:rPr>
          <w:sz w:val="25"/>
          <w:szCs w:val="25"/>
        </w:rPr>
      </w:pPr>
      <w:r>
        <w:rPr>
          <w:sz w:val="25"/>
          <w:szCs w:val="25"/>
        </w:rPr>
      </w:r>
    </w:p>
    <w:p>
      <w:pPr>
        <w:pStyle w:val="Normal"/>
        <w:tabs>
          <w:tab w:val="clear" w:pos="720"/>
          <w:tab w:val="left" w:pos="709" w:leader="none"/>
          <w:tab w:val="left" w:pos="1080" w:leader="none"/>
        </w:tabs>
        <w:ind w:hanging="0" w:right="0"/>
        <w:rPr>
          <w:sz w:val="25"/>
          <w:szCs w:val="25"/>
        </w:rPr>
      </w:pPr>
      <w:r>
        <w:rPr>
          <w:rFonts w:eastAsia="Calibri"/>
          <w:color w:val="333333"/>
          <w:sz w:val="25"/>
          <w:szCs w:val="25"/>
          <w:shd w:fill="FFFFFF" w:val="clear"/>
        </w:rPr>
        <w:t xml:space="preserve">13. </w:t>
      </w:r>
      <w:r>
        <w:rPr>
          <w:rFonts w:eastAsia="Calibri"/>
          <w:color w:val="34343C"/>
          <w:sz w:val="25"/>
          <w:szCs w:val="25"/>
          <w:shd w:fill="FFFFFF" w:val="clear"/>
        </w:rPr>
        <w:t>Резервный фонд Администрации Тулунского муниципального района  исполнен на 01.01.2026 в сумме 2 999,8 тыс. руб., или 100% к плановым назначениям.</w:t>
      </w:r>
    </w:p>
    <w:p>
      <w:pPr>
        <w:pStyle w:val="Normal"/>
        <w:tabs>
          <w:tab w:val="clear" w:pos="720"/>
          <w:tab w:val="left" w:pos="709" w:leader="none"/>
          <w:tab w:val="left" w:pos="1080" w:leader="none"/>
        </w:tabs>
        <w:ind w:hanging="0" w:right="0"/>
        <w:rPr>
          <w:sz w:val="25"/>
          <w:szCs w:val="25"/>
        </w:rPr>
      </w:pPr>
      <w:r>
        <w:rPr>
          <w:sz w:val="25"/>
          <w:szCs w:val="25"/>
        </w:rPr>
      </w:r>
    </w:p>
    <w:p>
      <w:pPr>
        <w:pStyle w:val="Normal"/>
        <w:tabs>
          <w:tab w:val="clear" w:pos="720"/>
          <w:tab w:val="left" w:pos="709" w:leader="none"/>
          <w:tab w:val="left" w:pos="1080" w:leader="none"/>
        </w:tabs>
        <w:ind w:hanging="0" w:right="0"/>
        <w:rPr>
          <w:sz w:val="25"/>
          <w:szCs w:val="25"/>
        </w:rPr>
      </w:pPr>
      <w:r>
        <w:rPr>
          <w:rFonts w:eastAsia="Calibri"/>
          <w:color w:val="34343C"/>
          <w:sz w:val="25"/>
          <w:szCs w:val="25"/>
          <w:shd w:fill="FFFFFF" w:val="clear"/>
        </w:rPr>
        <w:t>14. Согласно отчету об исполнении бюджета (ф. 0503117) исполнение средств дорожного фонда за 2025г. составило 50 532,4</w:t>
      </w:r>
      <w:r>
        <w:rPr>
          <w:rFonts w:eastAsia="Calibri"/>
          <w:color w:val="000000"/>
          <w:sz w:val="25"/>
          <w:szCs w:val="25"/>
          <w:shd w:fill="FFFFFF" w:val="clear"/>
        </w:rPr>
        <w:t xml:space="preserve"> </w:t>
      </w:r>
      <w:r>
        <w:rPr>
          <w:rFonts w:eastAsia="Calibri"/>
          <w:color w:val="34343C"/>
          <w:sz w:val="25"/>
          <w:szCs w:val="25"/>
          <w:shd w:fill="FFFFFF" w:val="clear"/>
        </w:rPr>
        <w:t xml:space="preserve">тыс. руб. или </w:t>
      </w:r>
      <w:r>
        <w:rPr>
          <w:rFonts w:eastAsia="Calibri"/>
          <w:color w:val="000000"/>
          <w:sz w:val="25"/>
          <w:szCs w:val="25"/>
          <w:shd w:fill="FFFFFF" w:val="clear"/>
        </w:rPr>
        <w:t>87,5</w:t>
      </w:r>
      <w:r>
        <w:rPr>
          <w:rFonts w:eastAsia="Calibri"/>
          <w:color w:val="34343C"/>
          <w:sz w:val="25"/>
          <w:szCs w:val="25"/>
          <w:shd w:fill="FFFFFF" w:val="clear"/>
        </w:rPr>
        <w:t xml:space="preserve">% к плану. </w:t>
      </w:r>
    </w:p>
    <w:p>
      <w:pPr>
        <w:pStyle w:val="Normal"/>
        <w:tabs>
          <w:tab w:val="clear" w:pos="720"/>
          <w:tab w:val="left" w:pos="709" w:leader="none"/>
          <w:tab w:val="left" w:pos="1080" w:leader="none"/>
        </w:tabs>
        <w:ind w:hanging="0" w:right="0"/>
        <w:rPr>
          <w:color w:val="34343C"/>
          <w:sz w:val="23"/>
        </w:rPr>
      </w:pPr>
      <w:r>
        <w:rPr>
          <w:rFonts w:eastAsia="Calibri"/>
          <w:color w:val="34343C"/>
          <w:sz w:val="25"/>
          <w:szCs w:val="25"/>
          <w:shd w:fill="FFFFFF" w:val="clear"/>
        </w:rPr>
        <w:t xml:space="preserve">  </w:t>
      </w:r>
      <w:r>
        <w:rPr>
          <w:rFonts w:eastAsia="Calibri"/>
          <w:color w:val="34343C"/>
          <w:sz w:val="25"/>
          <w:szCs w:val="25"/>
          <w:shd w:fill="FFFFFF" w:val="clear"/>
        </w:rPr>
        <w:t xml:space="preserve">Остаток средств дорожного фонда на 01.01.2026г. составил 7 251,4тыс. руб. </w:t>
      </w:r>
    </w:p>
    <w:p>
      <w:pPr>
        <w:pStyle w:val="Normal"/>
        <w:tabs>
          <w:tab w:val="clear" w:pos="720"/>
          <w:tab w:val="left" w:pos="1080" w:leader="none"/>
        </w:tabs>
        <w:ind w:hanging="0" w:right="176"/>
        <w:rPr>
          <w:sz w:val="25"/>
          <w:szCs w:val="25"/>
        </w:rPr>
      </w:pPr>
      <w:r>
        <w:rPr>
          <w:sz w:val="25"/>
          <w:szCs w:val="25"/>
        </w:rPr>
      </w:r>
    </w:p>
    <w:p>
      <w:pPr>
        <w:pStyle w:val="Normal"/>
        <w:ind w:firstLine="57" w:right="0"/>
        <w:rPr/>
      </w:pPr>
      <w:r>
        <w:rPr>
          <w:sz w:val="25"/>
          <w:szCs w:val="25"/>
        </w:rPr>
        <w:t xml:space="preserve">15. В рамках достижения целевых показателей, установленных во исполнение Указа Президента Российской Федерации от 7 мая 2018 года № 204 «О национальных целях и стратегических задачах развития Российской Федерации на период до 2024 года», </w:t>
      </w:r>
      <w:r>
        <w:rPr/>
        <w:t xml:space="preserve"> от 07.05.2024 № 309 «О национальных целях развития Российской Федерации на период до 2030 года и на перспективу до 2036 года»</w:t>
      </w:r>
      <w:r>
        <w:rPr>
          <w:sz w:val="25"/>
          <w:szCs w:val="25"/>
        </w:rPr>
        <w:t xml:space="preserve"> в бюджете </w:t>
      </w:r>
      <w:r>
        <w:rPr>
          <w:color w:val="000000"/>
          <w:sz w:val="25"/>
          <w:szCs w:val="25"/>
        </w:rPr>
        <w:t>Тулунского</w:t>
      </w:r>
      <w:r>
        <w:rPr>
          <w:rFonts w:eastAsia="Liberation Serif;Times New Roma"/>
          <w:color w:val="000000"/>
          <w:sz w:val="25"/>
          <w:szCs w:val="25"/>
        </w:rPr>
        <w:t xml:space="preserve"> </w:t>
      </w:r>
      <w:r>
        <w:rPr>
          <w:color w:val="000000"/>
          <w:sz w:val="25"/>
          <w:szCs w:val="25"/>
        </w:rPr>
        <w:t>муниципального</w:t>
      </w:r>
      <w:r>
        <w:rPr>
          <w:rFonts w:eastAsia="Liberation Serif;Times New Roma"/>
          <w:color w:val="000000"/>
          <w:sz w:val="25"/>
          <w:szCs w:val="25"/>
        </w:rPr>
        <w:t xml:space="preserve"> </w:t>
      </w:r>
      <w:r>
        <w:rPr>
          <w:color w:val="000000"/>
          <w:sz w:val="25"/>
          <w:szCs w:val="25"/>
        </w:rPr>
        <w:t>района</w:t>
      </w:r>
      <w:r>
        <w:rPr>
          <w:sz w:val="25"/>
          <w:szCs w:val="25"/>
        </w:rPr>
        <w:t xml:space="preserve"> на 2025 год, утвержденным решением Думы от 24.12.2024г. № 121 (с изменениями), в сводной бюджетной росписи бюджета Тулунского района, утверждённой приказом Комитета по финансам администрации Тулунского муниципального района от 25.12.2025г. №181(о.д.) предусмотрены бюджетные ассигнования на реализацию двух национальных (региональных)  проектов в объеме 130 652,5 тыс. рублей.</w:t>
      </w:r>
    </w:p>
    <w:p>
      <w:pPr>
        <w:pStyle w:val="Normal"/>
        <w:ind w:firstLine="510" w:right="0"/>
        <w:rPr>
          <w:sz w:val="25"/>
          <w:szCs w:val="25"/>
        </w:rPr>
      </w:pPr>
      <w:r>
        <w:rPr>
          <w:sz w:val="25"/>
          <w:szCs w:val="25"/>
        </w:rPr>
        <w:t xml:space="preserve">Объем средств, направленных в 2025 году на достижение целевых показателей и результатов, в соответствии с региональными проектами Иркутской области, составил 129 983,1 тыс. руб. или 99,5% к плановым назначениям. </w:t>
      </w:r>
      <w:r>
        <w:rPr>
          <w:color w:val="000000"/>
          <w:sz w:val="25"/>
          <w:szCs w:val="25"/>
        </w:rPr>
        <w:t>Финансовое обеспечение национальных (региональных) проектов на 01.01.2026 года за счет средств федерального бюджета составило в сумме 111 855,5 тыс. руб. (86,1% от общего объема), областного бюджета в сумме 14 269,6тыс. руб. (11,0 % от общего объема), местного бюджета в сумме 3 858,0 тыс. руб. (2,9% от общего объема).</w:t>
      </w:r>
    </w:p>
    <w:p>
      <w:pPr>
        <w:pStyle w:val="Normal"/>
        <w:ind w:firstLine="709" w:right="0"/>
        <w:rPr>
          <w:color w:val="000000"/>
          <w:sz w:val="25"/>
          <w:szCs w:val="25"/>
        </w:rPr>
      </w:pPr>
      <w:r>
        <w:rPr>
          <w:color w:val="000000"/>
          <w:sz w:val="25"/>
          <w:szCs w:val="25"/>
        </w:rPr>
      </w:r>
    </w:p>
    <w:p>
      <w:pPr>
        <w:pStyle w:val="Normal"/>
        <w:tabs>
          <w:tab w:val="clear" w:pos="720"/>
          <w:tab w:val="left" w:pos="709" w:leader="none"/>
        </w:tabs>
        <w:ind w:firstLine="57" w:right="0"/>
        <w:rPr/>
      </w:pPr>
      <w:r>
        <w:rPr>
          <w:sz w:val="25"/>
          <w:szCs w:val="25"/>
          <w:shd w:fill="FFFFFF" w:val="clear"/>
        </w:rPr>
        <w:t xml:space="preserve">16. </w:t>
      </w:r>
      <w:r>
        <w:rPr>
          <w:sz w:val="25"/>
          <w:szCs w:val="25"/>
        </w:rPr>
        <w:t xml:space="preserve">По состоянию на 01.01.2026 года по обязательствам бюджета Тулунского муниципального района сложилась  кредиторская задолженность в сумме </w:t>
      </w:r>
      <w:r>
        <w:rPr>
          <w:color w:val="000000"/>
          <w:sz w:val="25"/>
          <w:szCs w:val="25"/>
        </w:rPr>
        <w:t>51 595,2</w:t>
      </w:r>
      <w:r>
        <w:rPr>
          <w:sz w:val="25"/>
          <w:szCs w:val="25"/>
        </w:rPr>
        <w:t xml:space="preserve"> тыс. руб. По сравнению с началом года кредиторская задолженность увеличилась на 5 566,7 тыс. руб., или на 12,1%. </w:t>
      </w:r>
      <w:r>
        <w:rPr>
          <w:color w:val="000000"/>
        </w:rPr>
        <w:t>По состоянию на 01.01.2026 года имеется просроченная кредиторская задолженность в сумме 5 899, 6</w:t>
      </w:r>
      <w:r>
        <w:rPr>
          <w:b/>
          <w:bCs/>
          <w:color w:val="000000"/>
        </w:rPr>
        <w:t xml:space="preserve"> </w:t>
      </w:r>
      <w:r>
        <w:rPr>
          <w:color w:val="000000"/>
        </w:rPr>
        <w:t>тыс. руб. Задолженность сложилась в связи с не доведением предельных объемов финансирования, отсутствием денежных средств в областном бюджете.</w:t>
      </w:r>
    </w:p>
    <w:p>
      <w:pPr>
        <w:pStyle w:val="Normal"/>
        <w:tabs>
          <w:tab w:val="clear" w:pos="720"/>
          <w:tab w:val="left" w:pos="709" w:leader="none"/>
        </w:tabs>
        <w:ind w:firstLine="57" w:right="0"/>
        <w:rPr>
          <w:color w:val="000000"/>
        </w:rPr>
      </w:pPr>
      <w:r>
        <w:rPr>
          <w:color w:val="000000"/>
        </w:rPr>
      </w:r>
    </w:p>
    <w:p>
      <w:pPr>
        <w:pStyle w:val="Normal"/>
        <w:tabs>
          <w:tab w:val="clear" w:pos="720"/>
          <w:tab w:val="left" w:pos="709" w:leader="none"/>
        </w:tabs>
        <w:ind w:firstLine="57" w:right="0"/>
        <w:rPr/>
      </w:pPr>
      <w:r>
        <w:rPr>
          <w:color w:val="000000"/>
        </w:rPr>
        <w:t xml:space="preserve">17. </w:t>
      </w:r>
      <w:r>
        <w:rPr>
          <w:color w:val="000000"/>
          <w:shd w:fill="FFFFFF" w:val="clear"/>
        </w:rPr>
        <w:t xml:space="preserve">Дебиторская задолженность по бюджету Тулунского муниципального района за отчетный период сложилась в сумме 5 121,4  тыс. руб. По сравнению с началом года задолженность увеличилась на 148,7 тыс. руб. или на 3,0%.( (в т.ч. просроченная задолженность уменьшилась на 365,9тыс. руб. и составили 3 893,4 тыс. руб.). </w:t>
      </w:r>
      <w:r>
        <w:rPr>
          <w:color w:val="000000"/>
          <w:sz w:val="25"/>
          <w:szCs w:val="25"/>
          <w:shd w:fill="FFFFFF" w:val="clear"/>
        </w:rPr>
        <w:t xml:space="preserve">Основная сумма просроченной дебиторской задолженности сложилась в связи с неисполнением обязательств по договорам аренды земельных участков в сумме </w:t>
      </w:r>
      <w:r>
        <w:rPr>
          <w:color w:val="000000"/>
          <w:shd w:fill="FFFFFF" w:val="clear"/>
        </w:rPr>
        <w:t xml:space="preserve"> 2 702 ,1 тыс. руб. и  в сумме 921,1 тыс. руб. в связи с неисполнением обязательств по уплате пеней по договорам аренды земельных участков.</w:t>
      </w:r>
    </w:p>
    <w:p>
      <w:pPr>
        <w:pStyle w:val="Normal"/>
        <w:tabs>
          <w:tab w:val="clear" w:pos="720"/>
          <w:tab w:val="left" w:pos="709" w:leader="none"/>
        </w:tabs>
        <w:ind w:firstLine="567" w:right="0"/>
        <w:rPr>
          <w:color w:val="000000"/>
          <w:shd w:fill="FFFFFF" w:val="clear"/>
        </w:rPr>
      </w:pPr>
      <w:r>
        <w:rPr>
          <w:color w:val="000000"/>
          <w:shd w:fill="FFFFFF" w:val="clear"/>
        </w:rPr>
      </w:r>
    </w:p>
    <w:p>
      <w:pPr>
        <w:pStyle w:val="Normal"/>
        <w:tabs>
          <w:tab w:val="clear" w:pos="720"/>
          <w:tab w:val="left" w:pos="709" w:leader="none"/>
        </w:tabs>
        <w:ind w:hanging="0" w:right="0"/>
        <w:rPr/>
      </w:pPr>
      <w:r>
        <w:rPr>
          <w:sz w:val="25"/>
          <w:szCs w:val="25"/>
          <w:shd w:fill="FFFFFF" w:val="clear"/>
        </w:rPr>
        <w:t xml:space="preserve"> </w:t>
      </w:r>
      <w:r>
        <w:rPr>
          <w:sz w:val="25"/>
          <w:szCs w:val="25"/>
        </w:rPr>
        <w:t>18</w:t>
      </w:r>
      <w:r>
        <w:rPr>
          <w:color w:val="000000"/>
          <w:sz w:val="25"/>
          <w:szCs w:val="25"/>
        </w:rPr>
        <w:t>. Верхний предел муниципального долга по состоянию на 01.01.2026г. установлен в размере 26 739,1 тыс. руб., в том числе верхний предел по муниципальным гарантиям 0 тыс. руб., что соответствует требованиям ст.107 Бюджетного кодекса  РФ.</w:t>
      </w:r>
    </w:p>
    <w:p>
      <w:pPr>
        <w:pStyle w:val="Normal"/>
        <w:ind w:hanging="0" w:right="176"/>
        <w:rPr>
          <w:sz w:val="25"/>
          <w:szCs w:val="25"/>
        </w:rPr>
      </w:pPr>
      <w:r>
        <w:rPr>
          <w:sz w:val="25"/>
          <w:szCs w:val="25"/>
        </w:rPr>
        <w:t xml:space="preserve"> </w:t>
      </w:r>
      <w:r>
        <w:rPr>
          <w:sz w:val="25"/>
          <w:szCs w:val="25"/>
        </w:rPr>
        <w:t>Расходы на обслуживание муниципального долга за 2025 год составили в сумме 15,5 тыс. руб.</w:t>
      </w:r>
    </w:p>
    <w:p>
      <w:pPr>
        <w:pStyle w:val="Normal"/>
        <w:tabs>
          <w:tab w:val="clear" w:pos="720"/>
          <w:tab w:val="left" w:pos="709" w:leader="none"/>
        </w:tabs>
        <w:ind w:firstLine="426" w:right="176"/>
        <w:rPr/>
      </w:pPr>
      <w:r>
        <w:rPr>
          <w:color w:val="000000"/>
          <w:sz w:val="25"/>
          <w:szCs w:val="25"/>
        </w:rPr>
        <w:t xml:space="preserve">По состоянию на 01.01.2026 года, согласно сведениям Долговой книги Тулунского муниципального района, </w:t>
      </w:r>
      <w:r>
        <w:rPr>
          <w:color w:val="000000"/>
          <w:sz w:val="25"/>
          <w:szCs w:val="25"/>
          <w:shd w:fill="FFFFFF" w:val="clear"/>
        </w:rPr>
        <w:t>муниципальный долг бюджета Тулунского муниципального района составляет 20 068,0 тыс. руб. В бюджет Тулунского муниципального района привлечен бюджетный кредит из областного бюджета в соответствии с договором о предоставлении бюджетного кредита</w:t>
      </w:r>
      <w:r>
        <w:rPr>
          <w:color w:val="000000"/>
          <w:sz w:val="25"/>
          <w:szCs w:val="25"/>
        </w:rPr>
        <w:t xml:space="preserve"> от 09.04.2025г. № 1.</w:t>
      </w:r>
    </w:p>
    <w:p>
      <w:pPr>
        <w:pStyle w:val="Normal"/>
        <w:tabs>
          <w:tab w:val="clear" w:pos="720"/>
          <w:tab w:val="left" w:pos="709" w:leader="none"/>
        </w:tabs>
        <w:ind w:firstLine="426" w:right="176"/>
        <w:rPr>
          <w:color w:val="000000"/>
          <w:sz w:val="25"/>
          <w:szCs w:val="25"/>
        </w:rPr>
      </w:pPr>
      <w:r>
        <w:rPr>
          <w:color w:val="000000"/>
          <w:sz w:val="25"/>
          <w:szCs w:val="25"/>
        </w:rPr>
      </w:r>
    </w:p>
    <w:p>
      <w:pPr>
        <w:pStyle w:val="Normal"/>
        <w:ind w:hanging="0" w:right="176"/>
        <w:rPr>
          <w:sz w:val="25"/>
          <w:szCs w:val="25"/>
        </w:rPr>
      </w:pPr>
      <w:r>
        <w:rPr>
          <w:sz w:val="25"/>
          <w:szCs w:val="25"/>
        </w:rPr>
        <w:t>19. Администрацией Тулунского  муниципального района в 2025 году муниципальные гарантии предприятиям и организациям не предоставлялись.</w:t>
      </w:r>
    </w:p>
    <w:p>
      <w:pPr>
        <w:pStyle w:val="Normal"/>
        <w:ind w:hanging="0" w:right="176"/>
        <w:rPr>
          <w:sz w:val="28"/>
          <w:szCs w:val="28"/>
        </w:rPr>
      </w:pPr>
      <w:r>
        <w:rPr>
          <w:sz w:val="28"/>
          <w:szCs w:val="28"/>
        </w:rPr>
      </w:r>
    </w:p>
    <w:p>
      <w:pPr>
        <w:pStyle w:val="Normal"/>
        <w:ind w:hanging="0" w:right="176"/>
        <w:rPr>
          <w:sz w:val="25"/>
          <w:szCs w:val="25"/>
        </w:rPr>
      </w:pPr>
      <w:r>
        <w:rPr>
          <w:sz w:val="25"/>
          <w:szCs w:val="25"/>
        </w:rPr>
        <w:t xml:space="preserve">20. В ходе </w:t>
      </w:r>
      <w:bookmarkStart w:id="13" w:name="__DdeLink__6482_31245503781"/>
      <w:r>
        <w:rPr>
          <w:sz w:val="25"/>
          <w:szCs w:val="25"/>
        </w:rPr>
        <w:t>осуществления полномочий по внутреннему муниципальному финансовому контролю</w:t>
      </w:r>
      <w:bookmarkEnd w:id="13"/>
      <w:r>
        <w:rPr>
          <w:sz w:val="25"/>
          <w:szCs w:val="25"/>
        </w:rPr>
        <w:t xml:space="preserve"> в течении 2025 года Комитетом по финансам администрации Тулунского муниципального района  проведено 25 контрольных мероприятий, в том числе 2 внеплановые проверки. Общий объём проверенных средств в отчетном периоде составил 338 206,95 тыс. руб., контрольными мероприятиями охвачено 27 объектов, в том числе 8 органов местного самоуправления (23,5% от общего количества органов местного самоуправления) и 19 муниципальных учреждений (22,6 % от общего количества муниципальных учреждений). Выявлено нарушений законодательства на сумму 111 281,89 тыс. руб., в том числе:</w:t>
      </w:r>
    </w:p>
    <w:p>
      <w:pPr>
        <w:pStyle w:val="Normal"/>
        <w:widowControl w:val="false"/>
        <w:numPr>
          <w:ilvl w:val="0"/>
          <w:numId w:val="0"/>
        </w:numPr>
        <w:tabs>
          <w:tab w:val="clear" w:pos="720"/>
          <w:tab w:val="left" w:pos="567" w:leader="none"/>
          <w:tab w:val="left" w:pos="709" w:leader="none"/>
        </w:tabs>
        <w:ind w:firstLine="567" w:left="0" w:right="176"/>
        <w:outlineLvl w:val="1"/>
        <w:rPr>
          <w:sz w:val="25"/>
          <w:szCs w:val="25"/>
        </w:rPr>
      </w:pPr>
      <w:r>
        <w:rPr>
          <w:sz w:val="25"/>
          <w:szCs w:val="25"/>
        </w:rPr>
        <w:t>- объем нарушений требований к составлению и исполнению бюджета по расходам, установленных бюджетным законодательством РФ, положениями правовых актов, регулирующих бюджетные правоотношения – 23,10 тыс. руб.;</w:t>
      </w:r>
    </w:p>
    <w:p>
      <w:pPr>
        <w:pStyle w:val="Normal"/>
        <w:widowControl w:val="false"/>
        <w:numPr>
          <w:ilvl w:val="0"/>
          <w:numId w:val="0"/>
        </w:numPr>
        <w:tabs>
          <w:tab w:val="clear" w:pos="720"/>
          <w:tab w:val="left" w:pos="567" w:leader="none"/>
          <w:tab w:val="left" w:pos="709" w:leader="none"/>
        </w:tabs>
        <w:ind w:firstLine="567" w:left="0" w:right="176"/>
        <w:outlineLvl w:val="1"/>
        <w:rPr>
          <w:sz w:val="25"/>
          <w:szCs w:val="25"/>
        </w:rPr>
      </w:pPr>
      <w:r>
        <w:rPr>
          <w:sz w:val="25"/>
          <w:szCs w:val="25"/>
        </w:rPr>
        <w:t>- объем порядка составления, утверждения и ведения бюджетных смет – 3 814,54 тыс. руб.;</w:t>
      </w:r>
    </w:p>
    <w:p>
      <w:pPr>
        <w:pStyle w:val="Normal"/>
        <w:widowControl w:val="false"/>
        <w:numPr>
          <w:ilvl w:val="0"/>
          <w:numId w:val="0"/>
        </w:numPr>
        <w:tabs>
          <w:tab w:val="clear" w:pos="720"/>
          <w:tab w:val="left" w:pos="567" w:leader="none"/>
          <w:tab w:val="left" w:pos="709" w:leader="none"/>
        </w:tabs>
        <w:ind w:firstLine="567" w:left="0" w:right="176"/>
        <w:outlineLvl w:val="1"/>
        <w:rPr>
          <w:sz w:val="25"/>
          <w:szCs w:val="25"/>
        </w:rPr>
      </w:pPr>
      <w:r>
        <w:rPr>
          <w:sz w:val="25"/>
          <w:szCs w:val="25"/>
        </w:rPr>
        <w:t>- объем порядка доведения бюджетных ассигнований и (или) лимитов бюджетных обязательств – 25 728,00 тыс .руб.;</w:t>
      </w:r>
    </w:p>
    <w:p>
      <w:pPr>
        <w:pStyle w:val="Normal"/>
        <w:widowControl w:val="false"/>
        <w:numPr>
          <w:ilvl w:val="0"/>
          <w:numId w:val="0"/>
        </w:numPr>
        <w:tabs>
          <w:tab w:val="clear" w:pos="720"/>
          <w:tab w:val="left" w:pos="567" w:leader="none"/>
          <w:tab w:val="left" w:pos="709" w:leader="none"/>
        </w:tabs>
        <w:ind w:firstLine="567" w:left="0" w:right="176"/>
        <w:outlineLvl w:val="1"/>
        <w:rPr>
          <w:sz w:val="25"/>
          <w:szCs w:val="25"/>
        </w:rPr>
      </w:pPr>
      <w:r>
        <w:rPr>
          <w:sz w:val="25"/>
          <w:szCs w:val="25"/>
        </w:rPr>
        <w:t>- объем порядка принятия бюджетных обязательств – 16 808,45 тыс. руб.;</w:t>
      </w:r>
    </w:p>
    <w:p>
      <w:pPr>
        <w:pStyle w:val="Normal"/>
        <w:widowControl w:val="false"/>
        <w:numPr>
          <w:ilvl w:val="0"/>
          <w:numId w:val="0"/>
        </w:numPr>
        <w:tabs>
          <w:tab w:val="clear" w:pos="720"/>
          <w:tab w:val="left" w:pos="851" w:leader="none"/>
        </w:tabs>
        <w:ind w:firstLine="567" w:left="0" w:right="176"/>
        <w:outlineLvl w:val="1"/>
        <w:rPr>
          <w:sz w:val="25"/>
          <w:szCs w:val="25"/>
        </w:rPr>
      </w:pPr>
      <w:r>
        <w:rPr>
          <w:sz w:val="25"/>
          <w:szCs w:val="25"/>
        </w:rPr>
        <w:t>- объем неэффективно использованных средств – 6,72 тыс. руб.;</w:t>
      </w:r>
    </w:p>
    <w:p>
      <w:pPr>
        <w:pStyle w:val="Normal"/>
        <w:widowControl w:val="false"/>
        <w:numPr>
          <w:ilvl w:val="0"/>
          <w:numId w:val="0"/>
        </w:numPr>
        <w:tabs>
          <w:tab w:val="clear" w:pos="720"/>
          <w:tab w:val="left" w:pos="851" w:leader="none"/>
        </w:tabs>
        <w:ind w:firstLine="567" w:left="0" w:right="176"/>
        <w:outlineLvl w:val="1"/>
        <w:rPr>
          <w:sz w:val="25"/>
          <w:szCs w:val="25"/>
        </w:rPr>
      </w:pPr>
      <w:r>
        <w:rPr>
          <w:sz w:val="25"/>
          <w:szCs w:val="25"/>
        </w:rPr>
        <w:t>- объем нарушений ведения реестров расходных обязательств – 4 459,20 тыс. руб.;</w:t>
      </w:r>
    </w:p>
    <w:p>
      <w:pPr>
        <w:pStyle w:val="Normal"/>
        <w:widowControl w:val="false"/>
        <w:numPr>
          <w:ilvl w:val="0"/>
          <w:numId w:val="0"/>
        </w:numPr>
        <w:ind w:firstLine="426" w:left="0" w:right="176"/>
        <w:outlineLvl w:val="1"/>
        <w:rPr>
          <w:sz w:val="25"/>
          <w:szCs w:val="25"/>
        </w:rPr>
      </w:pPr>
      <w:r>
        <w:rPr>
          <w:sz w:val="25"/>
          <w:szCs w:val="25"/>
        </w:rPr>
        <w:t xml:space="preserve"> </w:t>
      </w:r>
      <w:r>
        <w:rPr>
          <w:sz w:val="25"/>
          <w:szCs w:val="25"/>
        </w:rPr>
        <w:t>- объем нарушений ведения бухгалтерского учёта, составления и представления бухгалтерской отчетности – 2 002,02 тыс. руб.;</w:t>
      </w:r>
    </w:p>
    <w:p>
      <w:pPr>
        <w:pStyle w:val="Normal"/>
        <w:widowControl w:val="false"/>
        <w:numPr>
          <w:ilvl w:val="0"/>
          <w:numId w:val="0"/>
        </w:numPr>
        <w:ind w:firstLine="567" w:left="0" w:right="176"/>
        <w:outlineLvl w:val="1"/>
        <w:rPr>
          <w:sz w:val="25"/>
          <w:szCs w:val="25"/>
        </w:rPr>
      </w:pPr>
      <w:r>
        <w:rPr>
          <w:sz w:val="25"/>
          <w:szCs w:val="25"/>
        </w:rPr>
        <w:t xml:space="preserve">  </w:t>
      </w:r>
      <w:r>
        <w:rPr>
          <w:sz w:val="25"/>
          <w:szCs w:val="25"/>
        </w:rPr>
        <w:t>- объем нарушений в управлении и учёте муниципального имущества – 58 097,55 тыс. руб.;</w:t>
      </w:r>
    </w:p>
    <w:p>
      <w:pPr>
        <w:pStyle w:val="Normal"/>
        <w:widowControl w:val="false"/>
        <w:numPr>
          <w:ilvl w:val="0"/>
          <w:numId w:val="0"/>
        </w:numPr>
        <w:tabs>
          <w:tab w:val="clear" w:pos="720"/>
          <w:tab w:val="left" w:pos="851" w:leader="none"/>
        </w:tabs>
        <w:ind w:firstLine="567" w:left="0" w:right="176"/>
        <w:outlineLvl w:val="1"/>
        <w:rPr>
          <w:sz w:val="25"/>
          <w:szCs w:val="25"/>
        </w:rPr>
      </w:pPr>
      <w:r>
        <w:rPr>
          <w:sz w:val="25"/>
          <w:szCs w:val="25"/>
        </w:rPr>
        <w:t xml:space="preserve"> </w:t>
      </w:r>
      <w:r>
        <w:rPr>
          <w:sz w:val="25"/>
          <w:szCs w:val="25"/>
        </w:rPr>
        <w:t>- объем нарушений при осуществлении муниципальных закупок – 25,70 тыс. руб.;</w:t>
      </w:r>
    </w:p>
    <w:p>
      <w:pPr>
        <w:pStyle w:val="Normal"/>
        <w:widowControl w:val="false"/>
        <w:numPr>
          <w:ilvl w:val="0"/>
          <w:numId w:val="0"/>
        </w:numPr>
        <w:tabs>
          <w:tab w:val="clear" w:pos="720"/>
          <w:tab w:val="left" w:pos="851" w:leader="none"/>
        </w:tabs>
        <w:ind w:firstLine="567" w:left="0" w:right="176"/>
        <w:outlineLvl w:val="1"/>
        <w:rPr>
          <w:sz w:val="25"/>
          <w:szCs w:val="25"/>
        </w:rPr>
      </w:pPr>
      <w:r>
        <w:rPr>
          <w:sz w:val="25"/>
          <w:szCs w:val="25"/>
        </w:rPr>
        <w:t xml:space="preserve"> </w:t>
      </w:r>
      <w:r>
        <w:rPr>
          <w:sz w:val="25"/>
          <w:szCs w:val="25"/>
        </w:rPr>
        <w:t>- объем нарушений в нормирование ст.19 закона № 44-ФЗ – 1,30 тыс. руб.;</w:t>
      </w:r>
    </w:p>
    <w:p>
      <w:pPr>
        <w:pStyle w:val="Normal"/>
        <w:widowControl w:val="false"/>
        <w:numPr>
          <w:ilvl w:val="0"/>
          <w:numId w:val="0"/>
        </w:numPr>
        <w:tabs>
          <w:tab w:val="clear" w:pos="720"/>
          <w:tab w:val="left" w:pos="851" w:leader="none"/>
        </w:tabs>
        <w:ind w:firstLine="567" w:left="0" w:right="176"/>
        <w:outlineLvl w:val="1"/>
        <w:rPr>
          <w:sz w:val="25"/>
          <w:szCs w:val="25"/>
        </w:rPr>
      </w:pPr>
      <w:r>
        <w:rPr>
          <w:sz w:val="25"/>
          <w:szCs w:val="25"/>
        </w:rPr>
        <w:t>- объем нарушений Федерального закона от 05.05.2013г. № 44-ФЗ «О контрактной системе в сфере закупок товаров, работ, услуг для обеспечения государственных и муниципальных нужд» – 315,31 тыс. руб.</w:t>
      </w:r>
    </w:p>
    <w:p>
      <w:pPr>
        <w:pStyle w:val="Normal"/>
        <w:widowControl w:val="false"/>
        <w:numPr>
          <w:ilvl w:val="0"/>
          <w:numId w:val="0"/>
        </w:numPr>
        <w:tabs>
          <w:tab w:val="clear" w:pos="720"/>
          <w:tab w:val="left" w:pos="851" w:leader="none"/>
        </w:tabs>
        <w:ind w:firstLine="567" w:left="0" w:right="176"/>
        <w:outlineLvl w:val="1"/>
        <w:rPr>
          <w:sz w:val="25"/>
          <w:szCs w:val="25"/>
        </w:rPr>
      </w:pPr>
      <w:r>
        <w:rPr>
          <w:sz w:val="25"/>
          <w:szCs w:val="25"/>
        </w:rPr>
        <w:t>В соответствии со статьей 270.2 Бюджетного кодекса РФ отделом финансового контроля направлено 10 представлений, содержащих информацию о выявленных в пределах компетенции органа внутреннего муниципального финансового контроля нарушениях и для принятия мер по устранению выявленных нарушений, причин и условий, способствующих их совершению.</w:t>
      </w:r>
    </w:p>
    <w:p>
      <w:pPr>
        <w:pStyle w:val="Normal"/>
        <w:widowControl w:val="false"/>
        <w:numPr>
          <w:ilvl w:val="0"/>
          <w:numId w:val="0"/>
        </w:numPr>
        <w:tabs>
          <w:tab w:val="clear" w:pos="720"/>
          <w:tab w:val="left" w:pos="851" w:leader="none"/>
        </w:tabs>
        <w:ind w:firstLine="567" w:left="0" w:right="176"/>
        <w:outlineLvl w:val="1"/>
        <w:rPr>
          <w:sz w:val="25"/>
          <w:szCs w:val="25"/>
        </w:rPr>
      </w:pPr>
      <w:r>
        <w:rPr>
          <w:sz w:val="25"/>
          <w:szCs w:val="25"/>
        </w:rPr>
        <w:t xml:space="preserve">Объектами контроля представлены документы, материалы и информация, подтверждающие полностью или частично устранение нарушения и (или) принятие мер по устранению причин и условий нарушения. </w:t>
      </w:r>
      <w:r>
        <w:rPr>
          <w:b/>
          <w:bCs/>
          <w:sz w:val="25"/>
          <w:szCs w:val="25"/>
          <w:shd w:fill="FFFFFF" w:val="clear"/>
          <w:lang w:eastAsia="zh-CN"/>
        </w:rPr>
        <w:t xml:space="preserve">   </w:t>
      </w:r>
    </w:p>
    <w:p>
      <w:pPr>
        <w:pStyle w:val="Normal"/>
        <w:widowControl w:val="false"/>
        <w:numPr>
          <w:ilvl w:val="0"/>
          <w:numId w:val="0"/>
        </w:numPr>
        <w:tabs>
          <w:tab w:val="clear" w:pos="720"/>
          <w:tab w:val="left" w:pos="851" w:leader="none"/>
        </w:tabs>
        <w:ind w:firstLine="567" w:left="0" w:right="176"/>
        <w:outlineLvl w:val="1"/>
        <w:rPr>
          <w:sz w:val="25"/>
          <w:szCs w:val="25"/>
        </w:rPr>
      </w:pPr>
      <w:r>
        <w:rPr>
          <w:sz w:val="25"/>
          <w:szCs w:val="25"/>
          <w:shd w:fill="FFFFFF" w:val="clear"/>
          <w:lang w:eastAsia="zh-CN"/>
        </w:rPr>
        <w:t xml:space="preserve">  </w:t>
      </w:r>
      <w:r>
        <w:rPr>
          <w:sz w:val="25"/>
          <w:szCs w:val="25"/>
          <w:shd w:fill="FFFFFF" w:val="clear"/>
          <w:lang w:eastAsia="zh-CN"/>
        </w:rPr>
        <w:tab/>
      </w:r>
    </w:p>
    <w:p>
      <w:pPr>
        <w:pStyle w:val="Normal"/>
        <w:tabs>
          <w:tab w:val="clear" w:pos="720"/>
          <w:tab w:val="left" w:pos="-1276" w:leader="none"/>
          <w:tab w:val="left" w:pos="709" w:leader="none"/>
        </w:tabs>
        <w:ind w:hanging="0" w:right="-1"/>
        <w:rPr>
          <w:sz w:val="25"/>
          <w:szCs w:val="25"/>
        </w:rPr>
      </w:pPr>
      <w:r>
        <w:rPr>
          <w:color w:val="000000"/>
          <w:sz w:val="25"/>
          <w:szCs w:val="25"/>
          <w:shd w:fill="FFFFFF" w:val="clear"/>
        </w:rPr>
        <w:t xml:space="preserve">  </w:t>
      </w:r>
      <w:r>
        <w:rPr>
          <w:color w:val="000000"/>
          <w:sz w:val="25"/>
          <w:szCs w:val="25"/>
        </w:rPr>
        <w:t xml:space="preserve"> </w:t>
      </w:r>
      <w:r>
        <w:rPr>
          <w:color w:val="000000"/>
          <w:sz w:val="25"/>
          <w:szCs w:val="25"/>
        </w:rPr>
        <w:t>21.  В  рамках осуществления внешнего муниципального финансового контроля, Контрольно - счетной палатой в 2025 году проведено 93 контрольных и экспертно-аналитически</w:t>
      </w:r>
      <w:r>
        <w:rPr>
          <w:color w:val="000000"/>
          <w:sz w:val="25"/>
          <w:szCs w:val="25"/>
          <w:shd w:fill="FFFFFF" w:val="clear"/>
        </w:rPr>
        <w:t>х мероприятия.</w:t>
      </w:r>
      <w:r>
        <w:rPr>
          <w:b/>
          <w:bCs/>
          <w:color w:val="000000"/>
          <w:sz w:val="25"/>
          <w:szCs w:val="25"/>
          <w:shd w:fill="FFFFFF" w:val="clear"/>
        </w:rPr>
        <w:t xml:space="preserve"> </w:t>
      </w:r>
      <w:r>
        <w:rPr>
          <w:color w:val="000000"/>
          <w:sz w:val="25"/>
          <w:szCs w:val="25"/>
        </w:rPr>
        <w:t>Контрольными мероприятиями охвачено 126 объектов, э</w:t>
      </w:r>
      <w:r>
        <w:rPr>
          <w:sz w:val="25"/>
          <w:szCs w:val="25"/>
          <w:shd w:fill="FFFFFF" w:val="clear"/>
        </w:rPr>
        <w:t>кспертно-аналитическими мероприятиями охвачено 83объекта.</w:t>
      </w:r>
    </w:p>
    <w:p>
      <w:pPr>
        <w:pStyle w:val="Normal"/>
        <w:tabs>
          <w:tab w:val="clear" w:pos="720"/>
          <w:tab w:val="left" w:pos="-1276" w:leader="none"/>
          <w:tab w:val="left" w:pos="709" w:leader="none"/>
        </w:tabs>
        <w:rPr>
          <w:sz w:val="25"/>
          <w:szCs w:val="25"/>
        </w:rPr>
      </w:pPr>
      <w:r>
        <w:rPr>
          <w:sz w:val="25"/>
          <w:szCs w:val="25"/>
        </w:rPr>
        <w:t>За отчётный период объём проверенных средств, в ходе контрольной и экспертно-аналитической работы должностными лицами КСП, составил 1 405 086,9 тыс. руб., выявлено нарушений законодательства на сумму 87 225,2 тыс. руб.</w:t>
      </w:r>
    </w:p>
    <w:p>
      <w:pPr>
        <w:pStyle w:val="Normal"/>
        <w:tabs>
          <w:tab w:val="clear" w:pos="720"/>
          <w:tab w:val="left" w:pos="-1276" w:leader="none"/>
          <w:tab w:val="left" w:pos="118" w:leader="none"/>
        </w:tabs>
        <w:ind w:hanging="0" w:right="-1"/>
        <w:rPr/>
      </w:pPr>
      <w:r>
        <w:rPr/>
        <w:t xml:space="preserve">      </w:t>
      </w:r>
      <w:r>
        <w:rPr/>
        <w:tab/>
        <w:t xml:space="preserve">В соответствии со статьей 268.1 Бюджетного кодекса РФ Контрольно-счетной палатой объектам проверки направлено 18 представление и 24 информационных письма для принятия мер по устранению выявленных нарушений, причин и условий, способствующих их совершению. </w:t>
      </w:r>
    </w:p>
    <w:p>
      <w:pPr>
        <w:pStyle w:val="Normal"/>
        <w:tabs>
          <w:tab w:val="clear" w:pos="720"/>
          <w:tab w:val="left" w:pos="-1276" w:leader="none"/>
          <w:tab w:val="left" w:pos="709" w:leader="none"/>
        </w:tabs>
        <w:ind w:hanging="0" w:right="-1"/>
        <w:rPr/>
      </w:pPr>
      <w:r>
        <w:rPr>
          <w:b/>
          <w:bCs/>
          <w:sz w:val="25"/>
          <w:szCs w:val="25"/>
          <w:shd w:fill="FFFFFF" w:val="clear"/>
        </w:rPr>
        <w:t xml:space="preserve">      </w:t>
      </w:r>
      <w:r>
        <w:rPr>
          <w:sz w:val="25"/>
          <w:szCs w:val="25"/>
          <w:shd w:fill="FFFFFF" w:val="clear"/>
        </w:rPr>
        <w:t xml:space="preserve">  </w:t>
      </w:r>
      <w:r>
        <w:rPr>
          <w:sz w:val="25"/>
          <w:szCs w:val="25"/>
          <w:shd w:fill="FFFFFF" w:val="clear"/>
        </w:rPr>
        <w:tab/>
        <w:t xml:space="preserve">Рекомендовано Контрольно-счетной палатой к устранению выявленных нарушений, включая рекомендации по взысканию или возврату в местный бюджет, всего в сумме 70 832,2 тыс. руб. Согласно информации, представленной объектами контроля, устранено выявленных нарушений на сумму 67 093,3 тыс. руб. </w:t>
      </w:r>
    </w:p>
    <w:p>
      <w:pPr>
        <w:pStyle w:val="BodyText"/>
        <w:rPr>
          <w:sz w:val="25"/>
          <w:szCs w:val="25"/>
        </w:rPr>
      </w:pPr>
      <w:r>
        <w:rPr>
          <w:sz w:val="25"/>
          <w:szCs w:val="25"/>
        </w:rPr>
        <w:t>Выявленные нарушения связаны с нарушениями бюджетного законодательства, законодательства о контрактной системе, о бухгалтерском учёте и других нормативных правовых актов при расходовании средств бюджета, с действиями (либо бездействием) должностных лиц, приведших к неэффективному использованию средств, либо к потере и упущению дополнительных доходов бюджета Тулунского муниципального района. Наибольшая доля выявленных нарушений вызвана ненадлежащим соблюдением норм Бюджетного кодекса РФ, федерального, областного и муниципального законодательства.</w:t>
      </w:r>
    </w:p>
    <w:p>
      <w:pPr>
        <w:pStyle w:val="Normal"/>
        <w:tabs>
          <w:tab w:val="clear" w:pos="720"/>
          <w:tab w:val="left" w:pos="-1276" w:leader="none"/>
          <w:tab w:val="left" w:pos="709" w:leader="none"/>
        </w:tabs>
        <w:ind w:hanging="0" w:right="-1"/>
        <w:jc w:val="center"/>
        <w:rPr/>
      </w:pPr>
      <w:r>
        <w:rPr>
          <w:sz w:val="25"/>
          <w:szCs w:val="25"/>
        </w:rPr>
        <w:t xml:space="preserve"> </w:t>
      </w:r>
      <w:r>
        <w:rPr>
          <w:b/>
          <w:sz w:val="25"/>
          <w:szCs w:val="25"/>
        </w:rPr>
        <w:t>Рекомендации.</w:t>
      </w:r>
    </w:p>
    <w:p>
      <w:pPr>
        <w:pStyle w:val="Normal"/>
        <w:tabs>
          <w:tab w:val="clear" w:pos="720"/>
          <w:tab w:val="left" w:pos="709" w:leader="none"/>
          <w:tab w:val="left" w:pos="1080" w:leader="none"/>
        </w:tabs>
        <w:ind w:hanging="0" w:right="-54"/>
        <w:jc w:val="center"/>
        <w:rPr>
          <w:b/>
          <w:sz w:val="25"/>
          <w:szCs w:val="25"/>
        </w:rPr>
      </w:pPr>
      <w:r>
        <w:rPr>
          <w:b/>
          <w:sz w:val="25"/>
          <w:szCs w:val="25"/>
        </w:rPr>
      </w:r>
    </w:p>
    <w:p>
      <w:pPr>
        <w:pStyle w:val="Normal"/>
        <w:tabs>
          <w:tab w:val="clear" w:pos="720"/>
          <w:tab w:val="left" w:pos="709" w:leader="none"/>
          <w:tab w:val="left" w:pos="1080" w:leader="none"/>
        </w:tabs>
        <w:ind w:hanging="0" w:right="-54"/>
        <w:rPr>
          <w:b/>
          <w:bCs/>
          <w:color w:val="302709"/>
        </w:rPr>
      </w:pPr>
      <w:r>
        <w:rPr>
          <w:b/>
          <w:bCs/>
          <w:color w:val="302709"/>
        </w:rPr>
        <w:t xml:space="preserve"> </w:t>
      </w:r>
      <w:r>
        <w:rPr>
          <w:b/>
          <w:bCs/>
          <w:color w:val="302709"/>
          <w:sz w:val="25"/>
          <w:szCs w:val="25"/>
        </w:rPr>
        <w:t>В целом, представленный на экспертизу отчет об исполнении бюджета Тулунского муниципального района за 2025 год является  полным и достоверным  и   может быть рекомендован к утверждению на очередном заседании Думы Тулунского муниципального района.</w:t>
      </w:r>
    </w:p>
    <w:p>
      <w:pPr>
        <w:pStyle w:val="Normal"/>
        <w:tabs>
          <w:tab w:val="clear" w:pos="720"/>
          <w:tab w:val="left" w:pos="709" w:leader="none"/>
          <w:tab w:val="left" w:pos="1080" w:leader="none"/>
        </w:tabs>
        <w:ind w:hanging="0" w:right="-54"/>
        <w:rPr>
          <w:sz w:val="25"/>
          <w:szCs w:val="25"/>
        </w:rPr>
      </w:pPr>
      <w:r>
        <w:rPr>
          <w:sz w:val="25"/>
          <w:szCs w:val="25"/>
        </w:rPr>
      </w:r>
    </w:p>
    <w:p>
      <w:pPr>
        <w:pStyle w:val="Normal"/>
        <w:tabs>
          <w:tab w:val="clear" w:pos="720"/>
          <w:tab w:val="left" w:pos="709" w:leader="none"/>
          <w:tab w:val="left" w:pos="1080" w:leader="none"/>
        </w:tabs>
        <w:rPr>
          <w:rFonts w:ascii="YS Text;sans-serif" w:hAnsi="YS Text;sans-serif"/>
          <w:color w:val="34343C"/>
          <w:sz w:val="23"/>
          <w:szCs w:val="25"/>
          <w:shd w:fill="FFFF00" w:val="clear"/>
        </w:rPr>
      </w:pPr>
      <w:r>
        <w:rPr>
          <w:rFonts w:ascii="YS Text;sans-serif" w:hAnsi="YS Text;sans-serif"/>
          <w:color w:val="34343C"/>
          <w:sz w:val="23"/>
          <w:szCs w:val="25"/>
          <w:shd w:fill="FFFF00" w:val="clear"/>
        </w:rPr>
        <w:t xml:space="preserve"> </w:t>
      </w:r>
    </w:p>
    <w:p>
      <w:pPr>
        <w:pStyle w:val="Normal"/>
        <w:tabs>
          <w:tab w:val="clear" w:pos="720"/>
          <w:tab w:val="left" w:pos="0" w:leader="none"/>
          <w:tab w:val="left" w:pos="1080" w:leader="none"/>
        </w:tabs>
        <w:ind w:hanging="0" w:right="-57"/>
        <w:rPr>
          <w:b/>
          <w:sz w:val="25"/>
          <w:szCs w:val="25"/>
        </w:rPr>
      </w:pPr>
      <w:r>
        <w:rPr>
          <w:b/>
          <w:sz w:val="25"/>
          <w:szCs w:val="25"/>
        </w:rPr>
        <w:t xml:space="preserve"> </w:t>
      </w:r>
      <w:r>
        <w:rPr>
          <w:sz w:val="25"/>
          <w:szCs w:val="25"/>
        </w:rPr>
        <w:t xml:space="preserve">Председатель КСП МО </w:t>
      </w:r>
    </w:p>
    <w:p>
      <w:pPr>
        <w:pStyle w:val="Normal"/>
        <w:tabs>
          <w:tab w:val="clear" w:pos="720"/>
          <w:tab w:val="left" w:pos="0" w:leader="none"/>
          <w:tab w:val="left" w:pos="1080" w:leader="none"/>
        </w:tabs>
        <w:ind w:hanging="0" w:right="-57"/>
        <w:rPr>
          <w:b/>
          <w:sz w:val="25"/>
          <w:szCs w:val="25"/>
        </w:rPr>
      </w:pPr>
      <w:r>
        <w:rPr>
          <w:sz w:val="25"/>
          <w:szCs w:val="25"/>
        </w:rPr>
        <w:t>«Тулунский район»                                                                                         Г.Э.Романчук</w:t>
      </w:r>
    </w:p>
    <w:p>
      <w:pPr>
        <w:pStyle w:val="Normal"/>
        <w:tabs>
          <w:tab w:val="clear" w:pos="720"/>
          <w:tab w:val="left" w:pos="0" w:leader="none"/>
          <w:tab w:val="left" w:pos="1080" w:leader="none"/>
        </w:tabs>
        <w:ind w:hanging="0" w:right="-57"/>
        <w:rPr>
          <w:b/>
          <w:sz w:val="25"/>
          <w:szCs w:val="25"/>
        </w:rPr>
      </w:pPr>
      <w:r>
        <w:rPr>
          <w:b/>
          <w:sz w:val="25"/>
          <w:szCs w:val="25"/>
        </w:rPr>
      </w:r>
    </w:p>
    <w:p>
      <w:pPr>
        <w:pStyle w:val="Normal"/>
        <w:ind w:hanging="0" w:right="176"/>
        <w:rPr>
          <w:sz w:val="25"/>
          <w:szCs w:val="25"/>
        </w:rPr>
      </w:pPr>
      <w:r>
        <w:rPr>
          <w:sz w:val="25"/>
          <w:szCs w:val="25"/>
        </w:rPr>
        <w:t>С заключением ознакомлена:</w:t>
      </w:r>
    </w:p>
    <w:p>
      <w:pPr>
        <w:pStyle w:val="Normal"/>
        <w:tabs>
          <w:tab w:val="clear" w:pos="720"/>
          <w:tab w:val="left" w:pos="1080" w:leader="none"/>
        </w:tabs>
        <w:ind w:hanging="0" w:right="170"/>
        <w:rPr>
          <w:sz w:val="25"/>
          <w:szCs w:val="25"/>
        </w:rPr>
      </w:pPr>
      <w:r>
        <w:rPr>
          <w:sz w:val="25"/>
          <w:szCs w:val="25"/>
        </w:rPr>
        <w:t>Председатель Комитета по финансам</w:t>
      </w:r>
    </w:p>
    <w:p>
      <w:pPr>
        <w:pStyle w:val="Normal"/>
        <w:tabs>
          <w:tab w:val="clear" w:pos="720"/>
          <w:tab w:val="left" w:pos="1080" w:leader="none"/>
        </w:tabs>
        <w:ind w:hanging="0" w:right="176"/>
        <w:rPr>
          <w:sz w:val="25"/>
          <w:szCs w:val="25"/>
        </w:rPr>
      </w:pPr>
      <w:r>
        <w:rPr>
          <w:sz w:val="25"/>
          <w:szCs w:val="25"/>
        </w:rPr>
        <w:t>администрации Тулунского</w:t>
      </w:r>
    </w:p>
    <w:p>
      <w:pPr>
        <w:pStyle w:val="Normal"/>
        <w:tabs>
          <w:tab w:val="clear" w:pos="720"/>
          <w:tab w:val="left" w:pos="1080" w:leader="none"/>
        </w:tabs>
        <w:ind w:hanging="0" w:right="176"/>
        <w:jc w:val="left"/>
        <w:rPr>
          <w:sz w:val="25"/>
          <w:szCs w:val="25"/>
        </w:rPr>
      </w:pPr>
      <w:r>
        <w:rPr>
          <w:sz w:val="25"/>
          <w:szCs w:val="25"/>
        </w:rPr>
        <w:t xml:space="preserve">муниципального района                                                                              Т.В.Александрова        </w:t>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p>
      <w:pPr>
        <w:pStyle w:val="Normal"/>
        <w:tabs>
          <w:tab w:val="clear" w:pos="720"/>
          <w:tab w:val="left" w:pos="1080" w:leader="none"/>
        </w:tabs>
        <w:ind w:hanging="0" w:right="176"/>
        <w:rPr>
          <w:sz w:val="25"/>
          <w:szCs w:val="25"/>
        </w:rPr>
      </w:pPr>
      <w:r>
        <w:rPr>
          <w:sz w:val="25"/>
          <w:szCs w:val="25"/>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0" w:top="850" w:footer="850" w:bottom="112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ourier New">
    <w:charset w:val="cc"/>
    <w:family w:val="roman"/>
    <w:pitch w:val="variable"/>
  </w:font>
  <w:font w:name="Symbol">
    <w:charset w:val="cc"/>
    <w:family w:val="roman"/>
    <w:pitch w:val="variable"/>
  </w:font>
  <w:font w:name="Wingdings">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Calibri Light">
    <w:charset w:val="cc"/>
    <w:family w:val="roman"/>
    <w:pitch w:val="variable"/>
  </w:font>
  <w:font w:name="Arial">
    <w:charset w:val="cc"/>
    <w:family w:val="roman"/>
    <w:pitch w:val="variable"/>
  </w:font>
  <w:font w:name="Tahoma">
    <w:charset w:val="cc"/>
    <w:family w:val="roman"/>
    <w:pitch w:val="variable"/>
  </w:font>
  <w:font w:name="Calibri">
    <w:charset w:val="cc"/>
    <w:family w:val="roman"/>
    <w:pitch w:val="variable"/>
  </w:font>
  <w:font w:name="Century Schoolbook">
    <w:charset w:val="cc"/>
    <w:family w:val="roman"/>
    <w:pitch w:val="variable"/>
  </w:font>
  <w:font w:name="YS Text">
    <w:altName w:val="sans-serif"/>
    <w:charset w:val="cc"/>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 xml:space="preserve">                                                                                                                                              </w:t>
    </w:r>
    <w:r>
      <w:rPr/>
      <w:fldChar w:fldCharType="begin"/>
    </w:r>
    <w:r>
      <w:rPr/>
      <w:instrText xml:space="preserve"> PAGE </w:instrText>
    </w:r>
    <w:r>
      <w:rPr/>
      <w:fldChar w:fldCharType="separate"/>
    </w:r>
    <w:r>
      <w:rPr/>
      <w:t>68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 xml:space="preserve">                                                                                                                                              </w:t>
    </w:r>
    <w:r>
      <w:rPr/>
      <w:fldChar w:fldCharType="begin"/>
    </w:r>
    <w:r>
      <w:rPr/>
      <w:instrText xml:space="preserve"> PAGE </w:instrText>
    </w:r>
    <w:r>
      <w:rPr/>
      <w:fldChar w:fldCharType="separate"/>
    </w:r>
    <w:r>
      <w:rPr/>
      <w:t>68</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ind w:hanging="0" w:right="176"/>
      <w:jc w:val="center"/>
      <w:rPr/>
    </w:pPr>
    <w:r>
      <w:rPr/>
    </w:r>
  </w:p>
  <w:p>
    <w:pPr>
      <w:pStyle w:val="Foo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ind w:hanging="0" w:right="176"/>
      <w:jc w:val="center"/>
      <w:rPr/>
    </w:pPr>
    <w:r>
      <w:rPr/>
    </w:r>
  </w:p>
  <w:p>
    <w:pPr>
      <w:pStyle w:val="Foo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2">
    <w:lvl w:ilvl="0">
      <w:start w:val="1"/>
      <w:numFmt w:val="bullet"/>
      <w:suff w:val="nothing"/>
      <w:lvlText w:val=""/>
      <w:lvlJc w:val="left"/>
      <w:pPr>
        <w:tabs>
          <w:tab w:val="num" w:pos="0"/>
        </w:tabs>
        <w:ind w:left="720" w:hanging="360"/>
      </w:pPr>
      <w:rPr>
        <w:rFonts w:ascii="Wingdings" w:hAnsi="Wingdings" w:cs="Wingdings" w:hint="default"/>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3">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4">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5">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6">
    <w:lvl w:ilvl="0">
      <w:start w:val="1"/>
      <w:numFmt w:val="bullet"/>
      <w:lvlText w:val=""/>
      <w:lvlJc w:val="left"/>
      <w:pPr>
        <w:tabs>
          <w:tab w:val="num" w:pos="0"/>
        </w:tabs>
        <w:ind w:left="862" w:hanging="360"/>
      </w:pPr>
      <w:rPr>
        <w:rFonts w:ascii="Symbol" w:hAnsi="Symbol" w:cs="Symbol" w:hint="default"/>
        <w:sz w:val="25"/>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sz w:val="25"/>
        <w:b w:val="false"/>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40"/>
  <w:embedSystemFont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ind w:firstLine="567" w:right="176"/>
      <w:jc w:val="both"/>
    </w:pPr>
    <w:rPr>
      <w:rFonts w:ascii="Times New Roman" w:hAnsi="Times New Roman" w:eastAsia="Times New Roman" w:cs="Times New Roman"/>
      <w:color w:val="00000A"/>
      <w:kern w:val="0"/>
      <w:sz w:val="24"/>
      <w:szCs w:val="24"/>
      <w:lang w:val="ru-RU" w:eastAsia="ru-RU" w:bidi="ar-SA"/>
    </w:rPr>
  </w:style>
  <w:style w:type="character" w:styleId="DefaultParagraphFont" w:default="1">
    <w:name w:val="Default Paragraph Font"/>
    <w:uiPriority w:val="1"/>
    <w:semiHidden/>
    <w:unhideWhenUsed/>
    <w:qFormat/>
    <w:rPr/>
  </w:style>
  <w:style w:type="character" w:styleId="Pagenumber">
    <w:name w:val="page number"/>
    <w:basedOn w:val="12"/>
    <w:qFormat/>
    <w:rPr/>
  </w:style>
  <w:style w:type="character" w:styleId="FontStyle17" w:customStyle="1">
    <w:name w:val="Font Style17"/>
    <w:basedOn w:val="DefaultParagraphFont"/>
    <w:qFormat/>
    <w:rPr>
      <w:rFonts w:ascii="Times New Roman" w:hAnsi="Times New Roman" w:cs="Times New Roman"/>
      <w:color w:val="000000"/>
      <w:sz w:val="26"/>
      <w:szCs w:val="26"/>
    </w:rPr>
  </w:style>
  <w:style w:type="character" w:styleId="Style14" w:customStyle="1">
    <w:name w:val="Название Знак"/>
    <w:basedOn w:val="DefaultParagraphFont"/>
    <w:qFormat/>
    <w:rPr>
      <w:b/>
      <w:bCs/>
      <w:i/>
      <w:iCs/>
      <w:szCs w:val="24"/>
    </w:rPr>
  </w:style>
  <w:style w:type="character" w:styleId="2" w:customStyle="1">
    <w:name w:val="Основной текст с отступом 2 Знак"/>
    <w:basedOn w:val="DefaultParagraphFont"/>
    <w:qFormat/>
    <w:rPr>
      <w:sz w:val="24"/>
      <w:szCs w:val="24"/>
    </w:rPr>
  </w:style>
  <w:style w:type="character" w:styleId="1" w:customStyle="1">
    <w:name w:val="Основной текст1"/>
    <w:basedOn w:val="DefaultParagraphFont"/>
    <w:qFormat/>
    <w:rPr>
      <w:rFonts w:ascii="Courier New" w:hAnsi="Courier New" w:eastAsia="Times New Roman" w:cs="Courier New"/>
      <w:spacing w:val="-10"/>
      <w:sz w:val="25"/>
      <w:szCs w:val="25"/>
    </w:rPr>
  </w:style>
  <w:style w:type="character" w:styleId="11" w:customStyle="1">
    <w:name w:val="Основной текст + 11"/>
    <w:basedOn w:val="DefaultParagraphFont"/>
    <w:qFormat/>
    <w:rPr>
      <w:rFonts w:ascii="Courier New" w:hAnsi="Courier New" w:eastAsia="Times New Roman" w:cs="Courier New"/>
      <w:smallCaps/>
      <w:spacing w:val="10"/>
      <w:sz w:val="23"/>
      <w:szCs w:val="23"/>
    </w:rPr>
  </w:style>
  <w:style w:type="character" w:styleId="12" w:customStyle="1">
    <w:name w:val="Основной шрифт абзаца1"/>
    <w:qFormat/>
    <w:rPr/>
  </w:style>
  <w:style w:type="character" w:styleId="FontStyle29" w:customStyle="1">
    <w:name w:val="Font Style29"/>
    <w:basedOn w:val="12"/>
    <w:qFormat/>
    <w:rPr>
      <w:rFonts w:ascii="Times New Roman" w:hAnsi="Times New Roman" w:cs="Times New Roman"/>
      <w:color w:val="000000"/>
      <w:sz w:val="24"/>
      <w:szCs w:val="24"/>
    </w:rPr>
  </w:style>
  <w:style w:type="character" w:styleId="WW8Num22z0" w:customStyle="1">
    <w:name w:val="WW8Num22z0"/>
    <w:qFormat/>
    <w:rPr>
      <w:rFonts w:ascii="Symbol" w:hAnsi="Symbol" w:cs="Symbol"/>
      <w:sz w:val="28"/>
      <w:szCs w:val="28"/>
    </w:rPr>
  </w:style>
  <w:style w:type="character" w:styleId="WW8Num22z1" w:customStyle="1">
    <w:name w:val="WW8Num22z1"/>
    <w:qFormat/>
    <w:rPr>
      <w:rFonts w:ascii="Courier New" w:hAnsi="Courier New" w:cs="Courier New"/>
    </w:rPr>
  </w:style>
  <w:style w:type="character" w:styleId="WW8Num22z2" w:customStyle="1">
    <w:name w:val="WW8Num22z2"/>
    <w:qFormat/>
    <w:rPr>
      <w:rFonts w:ascii="Wingdings" w:hAnsi="Wingdings" w:cs="Wingdings"/>
    </w:rPr>
  </w:style>
  <w:style w:type="character" w:styleId="FontStyle25" w:customStyle="1">
    <w:name w:val="Font Style25"/>
    <w:basedOn w:val="12"/>
    <w:qFormat/>
    <w:rPr>
      <w:rFonts w:ascii="Times New Roman" w:hAnsi="Times New Roman" w:cs="Times New Roman"/>
      <w:sz w:val="26"/>
      <w:szCs w:val="26"/>
    </w:rPr>
  </w:style>
  <w:style w:type="character" w:styleId="WW8Num1z0" w:customStyle="1">
    <w:name w:val="WW8Num1z0"/>
    <w:qFormat/>
    <w:rPr>
      <w:rFonts w:ascii="Symbol" w:hAnsi="Symbol" w:cs="Symbol"/>
    </w:rPr>
  </w:style>
  <w:style w:type="character" w:styleId="WW8Num18z0" w:customStyle="1">
    <w:name w:val="WW8Num18z0"/>
    <w:qFormat/>
    <w:rPr>
      <w:rFonts w:ascii="Wingdings" w:hAnsi="Wingdings" w:cs="Wingdings"/>
      <w:sz w:val="24"/>
      <w:szCs w:val="24"/>
    </w:rPr>
  </w:style>
  <w:style w:type="character" w:styleId="WW8Num18z1" w:customStyle="1">
    <w:name w:val="WW8Num18z1"/>
    <w:qFormat/>
    <w:rPr>
      <w:rFonts w:ascii="Courier New" w:hAnsi="Courier New" w:cs="Courier New"/>
    </w:rPr>
  </w:style>
  <w:style w:type="character" w:styleId="WW8Num18z3" w:customStyle="1">
    <w:name w:val="WW8Num18z3"/>
    <w:qFormat/>
    <w:rPr>
      <w:rFonts w:ascii="Symbol" w:hAnsi="Symbol" w:cs="Symbol"/>
    </w:rPr>
  </w:style>
  <w:style w:type="character" w:styleId="WW8Num12z0" w:customStyle="1">
    <w:name w:val="WW8Num12z0"/>
    <w:qFormat/>
    <w:rPr>
      <w:rFonts w:ascii="Wingdings" w:hAnsi="Wingdings" w:cs="Wingdings"/>
      <w:sz w:val="24"/>
      <w:szCs w:val="24"/>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25z0" w:customStyle="1">
    <w:name w:val="WW8Num25z0"/>
    <w:qFormat/>
    <w:rPr>
      <w:rFonts w:ascii="Courier New" w:hAnsi="Courier New" w:cs="Courier New"/>
    </w:rPr>
  </w:style>
  <w:style w:type="character" w:styleId="WW8Num25z2" w:customStyle="1">
    <w:name w:val="WW8Num25z2"/>
    <w:qFormat/>
    <w:rPr>
      <w:rFonts w:ascii="Wingdings" w:hAnsi="Wingdings" w:cs="Wingdings"/>
    </w:rPr>
  </w:style>
  <w:style w:type="character" w:styleId="WW8Num25z3" w:customStyle="1">
    <w:name w:val="WW8Num25z3"/>
    <w:qFormat/>
    <w:rPr>
      <w:rFonts w:ascii="Symbol" w:hAnsi="Symbol" w:cs="Symbol"/>
    </w:rPr>
  </w:style>
  <w:style w:type="character" w:styleId="WW8Num4z0" w:customStyle="1">
    <w:name w:val="WW8Num4z0"/>
    <w:qFormat/>
    <w:rPr>
      <w:rFonts w:ascii="Symbol" w:hAnsi="Symbol" w:cs="Symbol"/>
      <w:sz w:val="24"/>
      <w:szCs w:val="24"/>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35z0" w:customStyle="1">
    <w:name w:val="WW8Num35z0"/>
    <w:qFormat/>
    <w:rPr>
      <w:rFonts w:ascii="Symbol" w:hAnsi="Symbol" w:cs="Symbol"/>
    </w:rPr>
  </w:style>
  <w:style w:type="character" w:styleId="WW8Num35z1" w:customStyle="1">
    <w:name w:val="WW8Num35z1"/>
    <w:qFormat/>
    <w:rPr>
      <w:rFonts w:ascii="Courier New" w:hAnsi="Courier New" w:cs="Courier New"/>
    </w:rPr>
  </w:style>
  <w:style w:type="character" w:styleId="WW8Num35z2" w:customStyle="1">
    <w:name w:val="WW8Num35z2"/>
    <w:qFormat/>
    <w:rPr>
      <w:rFonts w:ascii="Wingdings" w:hAnsi="Wingdings" w:cs="Wingdings"/>
    </w:rPr>
  </w:style>
  <w:style w:type="character" w:styleId="WW8Num2z0" w:customStyle="1">
    <w:name w:val="WW8Num2z0"/>
    <w:qFormat/>
    <w:rPr>
      <w:rFonts w:ascii="Symbol" w:hAnsi="Symbol" w:cs="Symbol"/>
      <w:sz w:val="25"/>
      <w:szCs w:val="25"/>
    </w:rPr>
  </w:style>
  <w:style w:type="character" w:styleId="WW8Num16z0" w:customStyle="1">
    <w:name w:val="WW8Num16z0"/>
    <w:qFormat/>
    <w:rPr>
      <w:rFonts w:ascii="Wingdings" w:hAnsi="Wingdings" w:cs="Wingdings"/>
      <w:sz w:val="24"/>
      <w:szCs w:val="24"/>
    </w:rPr>
  </w:style>
  <w:style w:type="character" w:styleId="WW8Num16z1" w:customStyle="1">
    <w:name w:val="WW8Num16z1"/>
    <w:qFormat/>
    <w:rPr>
      <w:rFonts w:ascii="Courier New" w:hAnsi="Courier New" w:cs="Courier New"/>
    </w:rPr>
  </w:style>
  <w:style w:type="character" w:styleId="WW8Num16z3" w:customStyle="1">
    <w:name w:val="WW8Num16z3"/>
    <w:qFormat/>
    <w:rPr>
      <w:rFonts w:ascii="Symbol" w:hAnsi="Symbol" w:cs="Symbol"/>
    </w:rPr>
  </w:style>
  <w:style w:type="character" w:styleId="WW8Num17z0" w:customStyle="1">
    <w:name w:val="WW8Num17z0"/>
    <w:qFormat/>
    <w:rPr>
      <w:rFonts w:ascii="Wingdings" w:hAnsi="Wingdings" w:cs="Wingdings"/>
      <w:sz w:val="24"/>
      <w:szCs w:val="24"/>
    </w:rPr>
  </w:style>
  <w:style w:type="character" w:styleId="WW8Num17z1" w:customStyle="1">
    <w:name w:val="WW8Num17z1"/>
    <w:qFormat/>
    <w:rPr>
      <w:rFonts w:ascii="Courier New" w:hAnsi="Courier New" w:cs="Courier New"/>
    </w:rPr>
  </w:style>
  <w:style w:type="character" w:styleId="WW8Num17z3" w:customStyle="1">
    <w:name w:val="WW8Num17z3"/>
    <w:qFormat/>
    <w:rPr>
      <w:rFonts w:ascii="Symbol" w:hAnsi="Symbol" w:cs="Symbol"/>
    </w:rPr>
  </w:style>
  <w:style w:type="character" w:styleId="WW8Num11z0" w:customStyle="1">
    <w:name w:val="WW8Num11z0"/>
    <w:qFormat/>
    <w:rPr>
      <w:rFonts w:ascii="Wingdings" w:hAnsi="Wingdings" w:cs="Wingdings"/>
    </w:rPr>
  </w:style>
  <w:style w:type="character" w:styleId="WW8Num11z1" w:customStyle="1">
    <w:name w:val="WW8Num11z1"/>
    <w:qFormat/>
    <w:rPr>
      <w:rFonts w:ascii="Courier New" w:hAnsi="Courier New" w:cs="Courier New"/>
    </w:rPr>
  </w:style>
  <w:style w:type="character" w:styleId="WW8Num11z3" w:customStyle="1">
    <w:name w:val="WW8Num11z3"/>
    <w:qFormat/>
    <w:rPr>
      <w:rFonts w:ascii="Symbol" w:hAnsi="Symbol" w:cs="Symbol"/>
    </w:rPr>
  </w:style>
  <w:style w:type="character" w:styleId="WW8Num26z0" w:customStyle="1">
    <w:name w:val="WW8Num26z0"/>
    <w:qFormat/>
    <w:rPr>
      <w:rFonts w:ascii="Wingdings" w:hAnsi="Wingdings" w:cs="Wingdings"/>
    </w:rPr>
  </w:style>
  <w:style w:type="character" w:styleId="WW8Num26z1" w:customStyle="1">
    <w:name w:val="WW8Num26z1"/>
    <w:qFormat/>
    <w:rPr>
      <w:rFonts w:ascii="Courier New" w:hAnsi="Courier New" w:cs="Courier New"/>
    </w:rPr>
  </w:style>
  <w:style w:type="character" w:styleId="WW8Num26z3" w:customStyle="1">
    <w:name w:val="WW8Num26z3"/>
    <w:qFormat/>
    <w:rPr>
      <w:rFonts w:ascii="Symbol" w:hAnsi="Symbol" w:cs="Symbol"/>
    </w:rPr>
  </w:style>
  <w:style w:type="character" w:styleId="WW8Num28z0" w:customStyle="1">
    <w:name w:val="WW8Num28z0"/>
    <w:qFormat/>
    <w:rPr>
      <w:rFonts w:ascii="Symbol" w:hAnsi="Symbol" w:cs="Symbol"/>
      <w:sz w:val="24"/>
      <w:szCs w:val="24"/>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4z0" w:customStyle="1">
    <w:name w:val="WW8Num24z0"/>
    <w:qFormat/>
    <w:rPr/>
  </w:style>
  <w:style w:type="character" w:styleId="WW8Num24z1" w:customStyle="1">
    <w:name w:val="WW8Num24z1"/>
    <w:qFormat/>
    <w:rPr/>
  </w:style>
  <w:style w:type="character" w:styleId="WW8Num24z2" w:customStyle="1">
    <w:name w:val="WW8Num24z2"/>
    <w:qFormat/>
    <w:rPr/>
  </w:style>
  <w:style w:type="character" w:styleId="WW8Num24z3" w:customStyle="1">
    <w:name w:val="WW8Num24z3"/>
    <w:qFormat/>
    <w:rPr/>
  </w:style>
  <w:style w:type="character" w:styleId="WW8Num24z4" w:customStyle="1">
    <w:name w:val="WW8Num24z4"/>
    <w:qFormat/>
    <w:rPr/>
  </w:style>
  <w:style w:type="character" w:styleId="WW8Num24z5" w:customStyle="1">
    <w:name w:val="WW8Num24z5"/>
    <w:qFormat/>
    <w:rPr/>
  </w:style>
  <w:style w:type="character" w:styleId="WW8Num24z6" w:customStyle="1">
    <w:name w:val="WW8Num24z6"/>
    <w:qFormat/>
    <w:rPr/>
  </w:style>
  <w:style w:type="character" w:styleId="WW8Num24z7" w:customStyle="1">
    <w:name w:val="WW8Num24z7"/>
    <w:qFormat/>
    <w:rPr/>
  </w:style>
  <w:style w:type="character" w:styleId="WW8Num24z8" w:customStyle="1">
    <w:name w:val="WW8Num24z8"/>
    <w:qFormat/>
    <w:rPr/>
  </w:style>
  <w:style w:type="character" w:styleId="WW8Num31z0" w:customStyle="1">
    <w:name w:val="WW8Num31z0"/>
    <w:qFormat/>
    <w:rPr>
      <w:rFonts w:ascii="Courier New" w:hAnsi="Courier New" w:cs="Courier New"/>
    </w:rPr>
  </w:style>
  <w:style w:type="character" w:styleId="WW8Num31z2" w:customStyle="1">
    <w:name w:val="WW8Num31z2"/>
    <w:qFormat/>
    <w:rPr>
      <w:rFonts w:ascii="Wingdings" w:hAnsi="Wingdings" w:cs="Wingdings"/>
    </w:rPr>
  </w:style>
  <w:style w:type="character" w:styleId="WW8Num31z3" w:customStyle="1">
    <w:name w:val="WW8Num31z3"/>
    <w:qFormat/>
    <w:rPr>
      <w:rFonts w:ascii="Symbol" w:hAnsi="Symbol" w:cs="Symbol"/>
    </w:rPr>
  </w:style>
  <w:style w:type="character" w:styleId="Hyperlink" w:customStyle="1">
    <w:name w:val="Hyperlink"/>
    <w:rPr>
      <w:color w:val="000080"/>
      <w:u w:val="single"/>
    </w:rPr>
  </w:style>
  <w:style w:type="character" w:styleId="Style15" w:customStyle="1">
    <w:name w:val="Символ нумерации"/>
    <w:qFormat/>
    <w:rPr/>
  </w:style>
  <w:style w:type="character" w:styleId="Cs23fb06641" w:customStyle="1">
    <w:name w:val="cs23fb06641"/>
    <w:qFormat/>
    <w:rPr>
      <w:rFonts w:ascii="Times New Roman" w:hAnsi="Times New Roman" w:cs="Times New Roman"/>
      <w:color w:val="000000"/>
      <w:sz w:val="24"/>
      <w:szCs w:val="24"/>
    </w:rPr>
  </w:style>
  <w:style w:type="character" w:styleId="WW8Num14z0" w:customStyle="1">
    <w:name w:val="WW8Num14z0"/>
    <w:qFormat/>
    <w:rPr>
      <w:rFonts w:ascii="Courier New" w:hAnsi="Courier New" w:cs="Courier New"/>
    </w:rPr>
  </w:style>
  <w:style w:type="character" w:styleId="WW8Num14z2" w:customStyle="1">
    <w:name w:val="WW8Num14z2"/>
    <w:qFormat/>
    <w:rPr>
      <w:rFonts w:ascii="Wingdings" w:hAnsi="Wingdings" w:cs="Wingdings"/>
    </w:rPr>
  </w:style>
  <w:style w:type="character" w:styleId="WW8Num14z3" w:customStyle="1">
    <w:name w:val="WW8Num14z3"/>
    <w:qFormat/>
    <w:rPr>
      <w:rFonts w:ascii="Symbol" w:hAnsi="Symbol" w:cs="Symbol"/>
    </w:rPr>
  </w:style>
  <w:style w:type="character" w:styleId="WW8Num27z0" w:customStyle="1">
    <w:name w:val="WW8Num27z0"/>
    <w:qFormat/>
    <w:rPr>
      <w:rFonts w:ascii="Wingdings" w:hAnsi="Wingdings" w:cs="Wingdings"/>
      <w:sz w:val="24"/>
      <w:szCs w:val="24"/>
    </w:rPr>
  </w:style>
  <w:style w:type="character" w:styleId="WW8Num3z0" w:customStyle="1">
    <w:name w:val="WW8Num3z0"/>
    <w:qFormat/>
    <w:rPr>
      <w:rFonts w:ascii="Wingdings" w:hAnsi="Wingdings" w:cs="Wingdings"/>
      <w:sz w:val="24"/>
      <w:szCs w:val="24"/>
    </w:rPr>
  </w:style>
  <w:style w:type="character" w:styleId="WW8Num20z0" w:customStyle="1">
    <w:name w:val="WW8Num20z0"/>
    <w:qFormat/>
    <w:rPr>
      <w:rFonts w:ascii="Wingdings" w:hAnsi="Wingdings" w:cs="Wingdings"/>
      <w:sz w:val="28"/>
      <w:szCs w:val="28"/>
    </w:rPr>
  </w:style>
  <w:style w:type="character" w:styleId="WW8Num30z0" w:customStyle="1">
    <w:name w:val="WW8Num30z0"/>
    <w:qFormat/>
    <w:rPr>
      <w:rFonts w:ascii="Symbol" w:hAnsi="Symbol" w:cs="Symbol"/>
    </w:rPr>
  </w:style>
  <w:style w:type="character" w:styleId="Style16" w:customStyle="1">
    <w:name w:val="Маркеры списка"/>
    <w:qFormat/>
    <w:rPr>
      <w:rFonts w:ascii="OpenSymbol" w:hAnsi="OpenSymbol" w:eastAsia="OpenSymbol" w:cs="OpenSymbol"/>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2" w:customStyle="1">
    <w:name w:val="WW8Num11z2"/>
    <w:qFormat/>
    <w:rPr/>
  </w:style>
  <w:style w:type="character" w:styleId="WW8Num10z8" w:customStyle="1">
    <w:name w:val="WW8Num10z8"/>
    <w:qFormat/>
    <w:rPr/>
  </w:style>
  <w:style w:type="character" w:styleId="WW8Num10z7" w:customStyle="1">
    <w:name w:val="WW8Num10z7"/>
    <w:qFormat/>
    <w:rPr/>
  </w:style>
  <w:style w:type="character" w:styleId="WW8Num10z6" w:customStyle="1">
    <w:name w:val="WW8Num10z6"/>
    <w:qFormat/>
    <w:rPr/>
  </w:style>
  <w:style w:type="character" w:styleId="WW8Num10z5" w:customStyle="1">
    <w:name w:val="WW8Num10z5"/>
    <w:qFormat/>
    <w:rPr/>
  </w:style>
  <w:style w:type="character" w:styleId="WW8Num10z4" w:customStyle="1">
    <w:name w:val="WW8Num10z4"/>
    <w:qFormat/>
    <w:rPr/>
  </w:style>
  <w:style w:type="character" w:styleId="WW8Num10z3" w:customStyle="1">
    <w:name w:val="WW8Num10z3"/>
    <w:qFormat/>
    <w:rPr/>
  </w:style>
  <w:style w:type="character" w:styleId="WW8Num10z2" w:customStyle="1">
    <w:name w:val="WW8Num10z2"/>
    <w:qFormat/>
    <w:rPr/>
  </w:style>
  <w:style w:type="character" w:styleId="WW8Num10z1" w:customStyle="1">
    <w:name w:val="WW8Num10z1"/>
    <w:qFormat/>
    <w:rPr/>
  </w:style>
  <w:style w:type="character" w:styleId="WW8Num10z0" w:customStyle="1">
    <w:name w:val="WW8Num10z0"/>
    <w:qFormat/>
    <w:rPr/>
  </w:style>
  <w:style w:type="character" w:styleId="WW8Num9z8" w:customStyle="1">
    <w:name w:val="WW8Num9z8"/>
    <w:qFormat/>
    <w:rPr/>
  </w:style>
  <w:style w:type="character" w:styleId="WW8Num9z7" w:customStyle="1">
    <w:name w:val="WW8Num9z7"/>
    <w:qFormat/>
    <w:rPr/>
  </w:style>
  <w:style w:type="character" w:styleId="WW8Num9z6" w:customStyle="1">
    <w:name w:val="WW8Num9z6"/>
    <w:qFormat/>
    <w:rPr/>
  </w:style>
  <w:style w:type="character" w:styleId="WW8Num9z5" w:customStyle="1">
    <w:name w:val="WW8Num9z5"/>
    <w:qFormat/>
    <w:rPr/>
  </w:style>
  <w:style w:type="character" w:styleId="WW8Num9z4" w:customStyle="1">
    <w:name w:val="WW8Num9z4"/>
    <w:qFormat/>
    <w:rPr/>
  </w:style>
  <w:style w:type="character" w:styleId="WW8Num9z3" w:customStyle="1">
    <w:name w:val="WW8Num9z3"/>
    <w:qFormat/>
    <w:rPr/>
  </w:style>
  <w:style w:type="character" w:styleId="WW8Num9z2" w:customStyle="1">
    <w:name w:val="WW8Num9z2"/>
    <w:qFormat/>
    <w:rPr/>
  </w:style>
  <w:style w:type="character" w:styleId="WW8Num9z1" w:customStyle="1">
    <w:name w:val="WW8Num9z1"/>
    <w:qFormat/>
    <w:rPr/>
  </w:style>
  <w:style w:type="character" w:styleId="WW8Num9z0" w:customStyle="1">
    <w:name w:val="WW8Num9z0"/>
    <w:qFormat/>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style>
  <w:style w:type="character" w:styleId="WW8Num8z2" w:customStyle="1">
    <w:name w:val="WW8Num8z2"/>
    <w:qFormat/>
    <w:rPr/>
  </w:style>
  <w:style w:type="character" w:styleId="WW8Num8z1" w:customStyle="1">
    <w:name w:val="WW8Num8z1"/>
    <w:qFormat/>
    <w:rPr/>
  </w:style>
  <w:style w:type="character" w:styleId="WW8Num8z0" w:customStyle="1">
    <w:name w:val="WW8Num8z0"/>
    <w:qFormat/>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WW8Num7z2" w:customStyle="1">
    <w:name w:val="WW8Num7z2"/>
    <w:qFormat/>
    <w:rPr/>
  </w:style>
  <w:style w:type="character" w:styleId="WW8Num7z1" w:customStyle="1">
    <w:name w:val="WW8Num7z1"/>
    <w:qFormat/>
    <w:rPr/>
  </w:style>
  <w:style w:type="character" w:styleId="WW8Num7z0" w:customStyle="1">
    <w:name w:val="WW8Num7z0"/>
    <w:qFormat/>
    <w:rPr/>
  </w:style>
  <w:style w:type="character" w:styleId="WW8Num6z1" w:customStyle="1">
    <w:name w:val="WW8Num6z1"/>
    <w:qFormat/>
    <w:rPr>
      <w:rFonts w:ascii="Courier New" w:hAnsi="Courier New" w:cs="Courier New"/>
    </w:rPr>
  </w:style>
  <w:style w:type="character" w:styleId="WW8Num6z0" w:customStyle="1">
    <w:name w:val="WW8Num6z0"/>
    <w:qFormat/>
    <w:rPr>
      <w:rFonts w:ascii="Symbol" w:hAnsi="Symbol" w:cs="Symbol"/>
    </w:rPr>
  </w:style>
  <w:style w:type="character" w:styleId="WW8Num5z8" w:customStyle="1">
    <w:name w:val="WW8Num5z8"/>
    <w:qFormat/>
    <w:rPr/>
  </w:style>
  <w:style w:type="character" w:styleId="WW8Num5z7" w:customStyle="1">
    <w:name w:val="WW8Num5z7"/>
    <w:qFormat/>
    <w:rPr/>
  </w:style>
  <w:style w:type="character" w:styleId="WW8Num5z6" w:customStyle="1">
    <w:name w:val="WW8Num5z6"/>
    <w:qFormat/>
    <w:rPr/>
  </w:style>
  <w:style w:type="character" w:styleId="WW8Num5z5" w:customStyle="1">
    <w:name w:val="WW8Num5z5"/>
    <w:qFormat/>
    <w:rPr/>
  </w:style>
  <w:style w:type="character" w:styleId="WW8Num5z4" w:customStyle="1">
    <w:name w:val="WW8Num5z4"/>
    <w:qFormat/>
    <w:rPr/>
  </w:style>
  <w:style w:type="character" w:styleId="WW8Num5z3" w:customStyle="1">
    <w:name w:val="WW8Num5z3"/>
    <w:qFormat/>
    <w:rPr/>
  </w:style>
  <w:style w:type="character" w:styleId="WW8Num5z2" w:customStyle="1">
    <w:name w:val="WW8Num5z2"/>
    <w:qFormat/>
    <w:rPr/>
  </w:style>
  <w:style w:type="character" w:styleId="WW8Num5z1" w:customStyle="1">
    <w:name w:val="WW8Num5z1"/>
    <w:qFormat/>
    <w:rPr/>
  </w:style>
  <w:style w:type="character" w:styleId="WW8Num5z0" w:customStyle="1">
    <w:name w:val="WW8Num5z0"/>
    <w:qFormat/>
    <w:rPr>
      <w:rFonts w:eastAsia="Times New Roman"/>
      <w:b/>
      <w:color w:val="000000"/>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1" w:customStyle="1">
    <w:name w:val="WW8Num3z1"/>
    <w:qFormat/>
    <w:rPr>
      <w:rFonts w:ascii="Courier New" w:hAnsi="Courier New" w:cs="Courier New"/>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2z2" w:customStyle="1">
    <w:name w:val="WW8Num2z2"/>
    <w:qFormat/>
    <w:rPr/>
  </w:style>
  <w:style w:type="character" w:styleId="WW8Num2z1" w:customStyle="1">
    <w:name w:val="WW8Num2z1"/>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29z0" w:customStyle="1">
    <w:name w:val="WW8Num29z0"/>
    <w:qFormat/>
    <w:rPr>
      <w:rFonts w:ascii="Times New Roman" w:hAnsi="Times New Roman" w:cs="Times New Roman"/>
      <w:color w:val="000000"/>
      <w:sz w:val="28"/>
      <w:szCs w:val="28"/>
      <w:lang w:eastAsia="ru-RU"/>
    </w:rPr>
  </w:style>
  <w:style w:type="character" w:styleId="WW8Num4z4" w:customStyle="1">
    <w:name w:val="WW8Num4z4"/>
    <w:qFormat/>
    <w:rPr>
      <w:rFonts w:ascii="Courier New" w:hAnsi="Courier New" w:cs="Courier New"/>
    </w:rPr>
  </w:style>
  <w:style w:type="character" w:styleId="WW8Num23z0" w:customStyle="1">
    <w:name w:val="WW8Num23z0"/>
    <w:qFormat/>
    <w:rPr>
      <w:rFonts w:ascii="Symbol" w:hAnsi="Symbol" w:cs="Symbol"/>
    </w:rPr>
  </w:style>
  <w:style w:type="character" w:styleId="WW8Num15z0" w:customStyle="1">
    <w:name w:val="WW8Num15z0"/>
    <w:qFormat/>
    <w:rPr>
      <w:rFonts w:ascii="Symbol" w:hAnsi="Symbol" w:cs="Symbol"/>
    </w:rPr>
  </w:style>
  <w:style w:type="character" w:styleId="WW8Num38z0" w:customStyle="1">
    <w:name w:val="WW8Num38z0"/>
    <w:qFormat/>
    <w:rPr>
      <w:rFonts w:ascii="Wingdings" w:hAnsi="Wingdings" w:cs="Wingdings"/>
    </w:rPr>
  </w:style>
  <w:style w:type="character" w:styleId="WW8Num35z4" w:customStyle="1">
    <w:name w:val="WW8Num35z4"/>
    <w:qFormat/>
    <w:rPr>
      <w:rFonts w:ascii="Courier New" w:hAnsi="Courier New" w:cs="Courier New"/>
    </w:rPr>
  </w:style>
  <w:style w:type="character" w:styleId="WW8Num21z0" w:customStyle="1">
    <w:name w:val="WW8Num21z0"/>
    <w:qFormat/>
    <w:rPr>
      <w:rFonts w:ascii="Symbol" w:hAnsi="Symbol" w:eastAsia="Times New Roman" w:cs="Symbol"/>
      <w:color w:val="000000"/>
      <w:sz w:val="28"/>
      <w:szCs w:val="28"/>
    </w:rPr>
  </w:style>
  <w:style w:type="character" w:styleId="WW8Num21z1" w:customStyle="1">
    <w:name w:val="WW8Num21z1"/>
    <w:qFormat/>
    <w:rPr>
      <w:rFonts w:ascii="Symbol" w:hAnsi="Symbol" w:cs="Symbol"/>
    </w:rPr>
  </w:style>
  <w:style w:type="character" w:styleId="WW8Num40z0" w:customStyle="1">
    <w:name w:val="WW8Num40z0"/>
    <w:qFormat/>
    <w:rPr>
      <w:rFonts w:ascii="Times New Roman" w:hAnsi="Times New Roman" w:cs="Times New Roman"/>
      <w:color w:val="000000"/>
      <w:sz w:val="28"/>
      <w:szCs w:val="28"/>
    </w:rPr>
  </w:style>
  <w:style w:type="character" w:styleId="WW8Num40z2" w:customStyle="1">
    <w:name w:val="WW8Num40z2"/>
    <w:qFormat/>
    <w:rPr>
      <w:rFonts w:ascii="Symbol" w:hAnsi="Symbol" w:cs="Symbol"/>
    </w:rPr>
  </w:style>
  <w:style w:type="character" w:styleId="WW8Num36z0" w:customStyle="1">
    <w:name w:val="WW8Num36z0"/>
    <w:qFormat/>
    <w:rPr>
      <w:rFonts w:cs="Times New Roman"/>
    </w:rPr>
  </w:style>
  <w:style w:type="character" w:styleId="WW8Num36z1" w:customStyle="1">
    <w:name w:val="WW8Num36z1"/>
    <w:qFormat/>
    <w:rPr>
      <w:rFonts w:ascii="Symbol" w:hAnsi="Symbol" w:cs="Symbol"/>
    </w:rPr>
  </w:style>
  <w:style w:type="character" w:styleId="WW8Num36z2" w:customStyle="1">
    <w:name w:val="WW8Num36z2"/>
    <w:qFormat/>
    <w:rPr>
      <w:rFonts w:ascii="Symbol" w:hAnsi="Symbol" w:eastAsia="Times New Roman" w:cs="Symbol"/>
      <w:b/>
      <w:i w:val="false"/>
      <w:caps w:val="false"/>
      <w:smallCaps w:val="false"/>
      <w:strike w:val="false"/>
      <w:dstrike w:val="false"/>
      <w:outline w:val="false"/>
      <w:shadow w:val="false"/>
      <w:color w:val="000000"/>
      <w:sz w:val="28"/>
      <w:szCs w:val="28"/>
    </w:rPr>
  </w:style>
  <w:style w:type="character" w:styleId="WW8Num19z0" w:customStyle="1">
    <w:name w:val="WW8Num19z0"/>
    <w:qFormat/>
    <w:rPr>
      <w:rFonts w:ascii="Wingdings" w:hAnsi="Wingdings" w:cs="Wingdings"/>
      <w:sz w:val="24"/>
      <w:szCs w:val="24"/>
    </w:rPr>
  </w:style>
  <w:style w:type="character" w:styleId="WW8Num19z1" w:customStyle="1">
    <w:name w:val="WW8Num19z1"/>
    <w:qFormat/>
    <w:rPr>
      <w:rFonts w:ascii="Courier New" w:hAnsi="Courier New" w:cs="Courier New"/>
    </w:rPr>
  </w:style>
  <w:style w:type="character" w:styleId="WW8Num19z3" w:customStyle="1">
    <w:name w:val="WW8Num19z3"/>
    <w:qFormat/>
    <w:rPr>
      <w:rFonts w:ascii="Symbol" w:hAnsi="Symbol" w:cs="Symbol"/>
    </w:rPr>
  </w:style>
  <w:style w:type="character" w:styleId="WW8Num28z3" w:customStyle="1">
    <w:name w:val="WW8Num28z3"/>
    <w:qFormat/>
    <w:rPr/>
  </w:style>
  <w:style w:type="character" w:styleId="WW8Num31z1" w:customStyle="1">
    <w:name w:val="WW8Num31z1"/>
    <w:qFormat/>
    <w:rPr>
      <w:rFonts w:ascii="Symbol" w:hAnsi="Symbol" w:cs="Symbol"/>
      <w:color w:val="000000"/>
      <w:sz w:val="28"/>
      <w:szCs w:val="28"/>
    </w:rPr>
  </w:style>
  <w:style w:type="character" w:styleId="WW8Num31z4" w:customStyle="1">
    <w:name w:val="WW8Num31z4"/>
    <w:qFormat/>
    <w:rPr/>
  </w:style>
  <w:style w:type="character" w:styleId="WW8Num31z5" w:customStyle="1">
    <w:name w:val="WW8Num31z5"/>
    <w:qFormat/>
    <w:rPr/>
  </w:style>
  <w:style w:type="character" w:styleId="WW8Num31z6" w:customStyle="1">
    <w:name w:val="WW8Num31z6"/>
    <w:qFormat/>
    <w:rPr/>
  </w:style>
  <w:style w:type="character" w:styleId="WW8Num31z7" w:customStyle="1">
    <w:name w:val="WW8Num31z7"/>
    <w:qFormat/>
    <w:rPr/>
  </w:style>
  <w:style w:type="character" w:styleId="WW8Num31z8" w:customStyle="1">
    <w:name w:val="WW8Num31z8"/>
    <w:qFormat/>
    <w:rPr/>
  </w:style>
  <w:style w:type="character" w:styleId="WW8Num34z0" w:customStyle="1">
    <w:name w:val="WW8Num34z0"/>
    <w:qFormat/>
    <w:rPr>
      <w:rFonts w:ascii="Symbol" w:hAnsi="Symbol" w:cs="Symbol"/>
      <w:color w:val="000000"/>
      <w:sz w:val="28"/>
      <w:szCs w:val="28"/>
    </w:rPr>
  </w:style>
  <w:style w:type="character" w:styleId="WW8Num34z1" w:customStyle="1">
    <w:name w:val="WW8Num34z1"/>
    <w:qFormat/>
    <w:rPr>
      <w:rFonts w:ascii="Courier New" w:hAnsi="Courier New" w:cs="Courier New"/>
    </w:rPr>
  </w:style>
  <w:style w:type="character" w:styleId="WW8Num34z2" w:customStyle="1">
    <w:name w:val="WW8Num34z2"/>
    <w:qFormat/>
    <w:rPr>
      <w:rFonts w:ascii="Wingdings" w:hAnsi="Wingdings" w:cs="Wingdings"/>
    </w:rPr>
  </w:style>
  <w:style w:type="character" w:styleId="WW8Num39z0" w:customStyle="1">
    <w:name w:val="WW8Num39z0"/>
    <w:qFormat/>
    <w:rPr>
      <w:rFonts w:ascii="Wingdings" w:hAnsi="Wingdings" w:cs="Wingdings"/>
      <w:sz w:val="24"/>
      <w:szCs w:val="24"/>
    </w:rPr>
  </w:style>
  <w:style w:type="character" w:styleId="WW8Num39z1" w:customStyle="1">
    <w:name w:val="WW8Num39z1"/>
    <w:qFormat/>
    <w:rPr>
      <w:rFonts w:ascii="Courier New" w:hAnsi="Courier New" w:cs="Courier New"/>
    </w:rPr>
  </w:style>
  <w:style w:type="character" w:styleId="WW8Num39z3" w:customStyle="1">
    <w:name w:val="WW8Num39z3"/>
    <w:qFormat/>
    <w:rPr>
      <w:rFonts w:ascii="Symbol" w:hAnsi="Symbol" w:cs="Symbol"/>
    </w:rPr>
  </w:style>
  <w:style w:type="character" w:styleId="WW8Num25z1" w:customStyle="1">
    <w:name w:val="WW8Num25z1"/>
    <w:qFormat/>
    <w:rPr>
      <w:rFonts w:ascii="Courier New" w:hAnsi="Courier New" w:cs="Courier New"/>
    </w:rPr>
  </w:style>
  <w:style w:type="character" w:styleId="Style17" w:customStyle="1">
    <w:name w:val="Маркеры"/>
    <w:qFormat/>
    <w:rPr>
      <w:rFonts w:ascii="OpenSymbol" w:hAnsi="OpenSymbol" w:eastAsia="OpenSymbol" w:cs="OpenSymbol"/>
    </w:rPr>
  </w:style>
  <w:style w:type="character" w:styleId="WW8Num49z0" w:customStyle="1">
    <w:name w:val="WW8Num49z0"/>
    <w:qFormat/>
    <w:rPr>
      <w:rFonts w:ascii="Symbol" w:hAnsi="Symbol" w:eastAsia="Courier New" w:cs="Symbol"/>
      <w:color w:val="000000"/>
      <w:sz w:val="28"/>
      <w:szCs w:val="28"/>
    </w:rPr>
  </w:style>
  <w:style w:type="character" w:styleId="WW8Num49z1" w:customStyle="1">
    <w:name w:val="WW8Num49z1"/>
    <w:qFormat/>
    <w:rPr>
      <w:rFonts w:ascii="Courier New" w:hAnsi="Courier New" w:cs="Courier New"/>
    </w:rPr>
  </w:style>
  <w:style w:type="character" w:styleId="WW8Num49z2" w:customStyle="1">
    <w:name w:val="WW8Num49z2"/>
    <w:qFormat/>
    <w:rPr>
      <w:rFonts w:ascii="Wingdings" w:hAnsi="Wingdings" w:cs="Wingdings"/>
    </w:rPr>
  </w:style>
  <w:style w:type="character" w:styleId="WW8Num51z0" w:customStyle="1">
    <w:name w:val="WW8Num51z0"/>
    <w:qFormat/>
    <w:rPr>
      <w:rFonts w:ascii="Times New Roman" w:hAnsi="Times New Roman" w:cs="Times New Roman"/>
      <w:i w:val="false"/>
      <w:iCs/>
      <w:color w:val="000000"/>
      <w:sz w:val="28"/>
      <w:szCs w:val="28"/>
    </w:rPr>
  </w:style>
  <w:style w:type="character" w:styleId="WW8Num51z1" w:customStyle="1">
    <w:name w:val="WW8Num51z1"/>
    <w:qFormat/>
    <w:rPr>
      <w:rFonts w:ascii="Symbol" w:hAnsi="Symbol" w:eastAsia="Symbol" w:cs="Symbol"/>
      <w:color w:val="000000"/>
      <w:sz w:val="28"/>
      <w:szCs w:val="28"/>
    </w:rPr>
  </w:style>
  <w:style w:type="character" w:styleId="WW8Num51z2" w:customStyle="1">
    <w:name w:val="WW8Num51z2"/>
    <w:qFormat/>
    <w:rPr/>
  </w:style>
  <w:style w:type="character" w:styleId="WW8Num33z0" w:customStyle="1">
    <w:name w:val="WW8Num33z0"/>
    <w:qFormat/>
    <w:rPr>
      <w:rFonts w:ascii="Symbol" w:hAnsi="Symbol" w:eastAsia="Arial" w:cs="Symbol"/>
      <w:color w:val="000000"/>
      <w:sz w:val="28"/>
      <w:szCs w:val="28"/>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48z0" w:customStyle="1">
    <w:name w:val="WW8Num48z0"/>
    <w:qFormat/>
    <w:rPr>
      <w:rFonts w:ascii="Symbol" w:hAnsi="Symbol" w:cs="Symbol"/>
      <w:color w:val="000000"/>
      <w:sz w:val="28"/>
      <w:szCs w:val="28"/>
    </w:rPr>
  </w:style>
  <w:style w:type="character" w:styleId="WW8Num48z2" w:customStyle="1">
    <w:name w:val="WW8Num48z2"/>
    <w:qFormat/>
    <w:rPr>
      <w:rFonts w:ascii="Wingdings" w:hAnsi="Wingdings" w:cs="Wingdings"/>
    </w:rPr>
  </w:style>
  <w:style w:type="character" w:styleId="WW8Num48z4" w:customStyle="1">
    <w:name w:val="WW8Num48z4"/>
    <w:qFormat/>
    <w:rPr>
      <w:rFonts w:ascii="Courier New" w:hAnsi="Courier New" w:cs="Courier New"/>
    </w:rPr>
  </w:style>
  <w:style w:type="character" w:styleId="Style18" w:customStyle="1">
    <w:name w:val="Выделение жирным"/>
    <w:qFormat/>
    <w:rPr>
      <w:b/>
      <w:bCs/>
    </w:rPr>
  </w:style>
  <w:style w:type="character" w:styleId="Style19" w:customStyle="1">
    <w:name w:val="Верхний колонтитул Знак"/>
    <w:basedOn w:val="DefaultParagraphFont"/>
    <w:uiPriority w:val="99"/>
    <w:qFormat/>
    <w:rsid w:val="008c597e"/>
    <w:rPr>
      <w:color w:val="00000A"/>
      <w:sz w:val="24"/>
      <w:szCs w:val="24"/>
    </w:rPr>
  </w:style>
  <w:style w:type="character" w:styleId="Style20" w:customStyle="1">
    <w:name w:val="Нижний колонтитул Знак"/>
    <w:basedOn w:val="DefaultParagraphFont"/>
    <w:uiPriority w:val="99"/>
    <w:qFormat/>
    <w:rsid w:val="008c597e"/>
    <w:rPr>
      <w:color w:val="00000A"/>
      <w:sz w:val="24"/>
      <w:szCs w:val="24"/>
    </w:rPr>
  </w:style>
  <w:style w:type="paragraph" w:styleId="Style2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lang w:val="zxx" w:eastAsia="zxx" w:bidi="zxx"/>
    </w:rPr>
  </w:style>
  <w:style w:type="paragraph" w:styleId="Title">
    <w:name w:val="Title"/>
    <w:basedOn w:val="Normal"/>
    <w:next w:val="BodyText"/>
    <w:qFormat/>
    <w:pPr>
      <w:pBdr>
        <w:bottom w:val="single" w:sz="8" w:space="4" w:color="4F81BD"/>
      </w:pBdr>
      <w:spacing w:before="0" w:after="300"/>
      <w:contextualSpacing/>
    </w:pPr>
    <w:rPr>
      <w:rFonts w:ascii="Calibri Light" w:hAnsi="Calibri Light" w:eastAsia="" w:cs="" w:asciiTheme="majorHAnsi" w:cstheme="majorBidi" w:eastAsiaTheme="majorEastAsia" w:hAnsiTheme="majorHAnsi"/>
      <w:color w:themeColor="text2" w:themeShade="bf" w:val="323E4F"/>
      <w:spacing w:val="5"/>
      <w:kern w:val="2"/>
      <w:sz w:val="52"/>
      <w:szCs w:val="52"/>
    </w:rPr>
  </w:style>
  <w:style w:type="paragraph" w:styleId="Caption1">
    <w:name w:val="caption1"/>
    <w:basedOn w:val="Normal"/>
    <w:qFormat/>
    <w:pPr>
      <w:suppressLineNumbers/>
      <w:spacing w:before="120" w:after="120"/>
    </w:pPr>
    <w:rPr>
      <w:rFonts w:cs="Arial"/>
      <w:i/>
      <w:iCs/>
    </w:rPr>
  </w:style>
  <w:style w:type="paragraph" w:styleId="Indexheading">
    <w:name w:val="index heading"/>
    <w:basedOn w:val="Normal"/>
    <w:qFormat/>
    <w:pPr>
      <w:suppressLineNumbers/>
    </w:pPr>
    <w:rPr>
      <w:rFonts w:cs="Arial"/>
    </w:rPr>
  </w:style>
  <w:style w:type="paragraph" w:styleId="Style23" w:customStyle="1">
    <w:name w:val="Содержимое таблицы"/>
    <w:basedOn w:val="Normal"/>
    <w:qFormat/>
    <w:pPr>
      <w:widowControl w:val="false"/>
      <w:suppressLineNumbers/>
    </w:pPr>
    <w:rPr/>
  </w:style>
  <w:style w:type="paragraph" w:styleId="Style24" w:customStyle="1">
    <w:name w:val="Заголовок таблицы"/>
    <w:basedOn w:val="Style23"/>
    <w:qFormat/>
    <w:pPr>
      <w:jc w:val="center"/>
    </w:pPr>
    <w:rPr>
      <w:b/>
      <w:bCs/>
    </w:rPr>
  </w:style>
  <w:style w:type="paragraph" w:styleId="ListParagraph">
    <w:name w:val="List Paragraph"/>
    <w:basedOn w:val="Normal"/>
    <w:qFormat/>
    <w:pPr>
      <w:spacing w:lineRule="auto" w:line="276" w:before="0" w:after="200"/>
      <w:ind w:hanging="0" w:left="720" w:right="0"/>
      <w:contextualSpacing/>
    </w:pPr>
    <w:rPr>
      <w:rFonts w:eastAsia="Calibri"/>
      <w:szCs w:val="22"/>
    </w:rPr>
  </w:style>
  <w:style w:type="paragraph" w:styleId="BodyTextIndent">
    <w:name w:val="Body Text Indent"/>
    <w:basedOn w:val="Normal"/>
    <w:pPr>
      <w:spacing w:before="100" w:after="0"/>
      <w:ind w:firstLine="709" w:right="0"/>
    </w:pPr>
    <w:rPr/>
  </w:style>
  <w:style w:type="paragraph" w:styleId="ConsPlusNonformat" w:customStyle="1">
    <w:name w:val="ConsPlusNonformat"/>
    <w:qFormat/>
    <w:pPr>
      <w:widowControl/>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Default" w:customStyle="1">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61" w:customStyle="1">
    <w:name w:val="Style6"/>
    <w:basedOn w:val="Normal"/>
    <w:qFormat/>
    <w:pPr>
      <w:widowControl w:val="false"/>
      <w:spacing w:lineRule="exact" w:line="299"/>
      <w:ind w:firstLine="538" w:right="176"/>
    </w:pPr>
    <w:rPr/>
  </w:style>
  <w:style w:type="paragraph" w:styleId="ConsPlusCell" w:customStyle="1">
    <w:name w:val="ConsPlusCell"/>
    <w:qFormat/>
    <w:pPr>
      <w:widowControl/>
      <w:suppressAutoHyphens w:val="true"/>
      <w:overflowPunct w:val="true"/>
      <w:bidi w:val="0"/>
      <w:spacing w:before="0" w:after="0"/>
      <w:jc w:val="left"/>
    </w:pPr>
    <w:rPr>
      <w:rFonts w:ascii="Times New Roman" w:hAnsi="Times New Roman" w:eastAsia="Times New Roman" w:cs="Times New Roman"/>
      <w:color w:val="auto"/>
      <w:kern w:val="2"/>
      <w:sz w:val="20"/>
      <w:szCs w:val="20"/>
      <w:lang w:val="ru-RU" w:eastAsia="zh-CN" w:bidi="ar-SA"/>
    </w:rPr>
  </w:style>
  <w:style w:type="paragraph" w:styleId="ConsPlusNormal" w:customStyle="1">
    <w:name w:val="ConsPlusNormal"/>
    <w:qFormat/>
    <w:pPr>
      <w:widowControl w:val="false"/>
      <w:suppressAutoHyphens w:val="true"/>
      <w:overflowPunct w:val="true"/>
      <w:bidi w:val="0"/>
      <w:spacing w:before="0" w:after="0"/>
      <w:ind w:firstLine="72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Calibri"/>
      <w:color w:val="auto"/>
      <w:kern w:val="0"/>
      <w:sz w:val="22"/>
      <w:szCs w:val="22"/>
      <w:lang w:val="ru-RU" w:eastAsia="zh-CN" w:bidi="ar-SA"/>
    </w:rPr>
  </w:style>
  <w:style w:type="paragraph" w:styleId="Cs66fe197" w:customStyle="1">
    <w:name w:val="cs66fe197"/>
    <w:basedOn w:val="Normal"/>
    <w:qFormat/>
    <w:pPr>
      <w:ind w:firstLine="360" w:left="180" w:right="220"/>
    </w:pPr>
    <w:rPr/>
  </w:style>
  <w:style w:type="paragraph" w:styleId="BodyTextIndent3">
    <w:name w:val="Body Text Indent 3"/>
    <w:basedOn w:val="Normal"/>
    <w:qFormat/>
    <w:pPr>
      <w:spacing w:before="0" w:after="120"/>
      <w:ind w:hanging="0" w:left="283" w:right="176"/>
    </w:pPr>
    <w:rPr>
      <w:sz w:val="16"/>
      <w:szCs w:val="16"/>
    </w:rPr>
  </w:style>
  <w:style w:type="paragraph" w:styleId="Style25" w:customStyle="1">
    <w:name w:val="Колонтитул"/>
    <w:basedOn w:val="Normal"/>
    <w:qFormat/>
    <w:pPr>
      <w:suppressLineNumbers/>
      <w:tabs>
        <w:tab w:val="clear" w:pos="720"/>
        <w:tab w:val="center" w:pos="4934" w:leader="none"/>
        <w:tab w:val="right" w:pos="9868" w:leader="none"/>
      </w:tabs>
    </w:pPr>
    <w:rPr/>
  </w:style>
  <w:style w:type="paragraph" w:styleId="Footer">
    <w:name w:val="Footer"/>
    <w:basedOn w:val="Style25"/>
    <w:uiPriority w:val="99"/>
    <w:pPr/>
    <w:rPr/>
  </w:style>
  <w:style w:type="paragraph" w:styleId="13" w:customStyle="1">
    <w:name w:val="Цитата1"/>
    <w:basedOn w:val="Normal"/>
    <w:qFormat/>
    <w:pPr>
      <w:ind w:firstLine="709" w:left="1134" w:right="567"/>
    </w:pPr>
    <w:rPr>
      <w:kern w:val="2"/>
    </w:rPr>
  </w:style>
  <w:style w:type="paragraph" w:styleId="BlockText">
    <w:name w:val="Block Text"/>
    <w:basedOn w:val="Normal"/>
    <w:qFormat/>
    <w:pPr>
      <w:ind w:firstLine="709" w:left="1134" w:right="567"/>
    </w:pPr>
    <w:rPr/>
  </w:style>
  <w:style w:type="paragraph" w:styleId="Style26" w:customStyle="1">
    <w:name w:val="Шапка (герб)"/>
    <w:basedOn w:val="Normal"/>
    <w:qFormat/>
    <w:pPr>
      <w:jc w:val="right"/>
      <w:textAlignment w:val="baseline"/>
    </w:pPr>
    <w:rPr>
      <w:rFonts w:ascii="Century Schoolbook" w:hAnsi="Century Schoolbook"/>
      <w:szCs w:val="20"/>
    </w:rPr>
  </w:style>
  <w:style w:type="paragraph" w:styleId="ConsPlusTitle" w:customStyle="1">
    <w:name w:val="ConsPlusTitle"/>
    <w:qFormat/>
    <w:pPr>
      <w:widowControl w:val="false"/>
      <w:suppressAutoHyphens w:val="true"/>
      <w:bidi w:val="0"/>
      <w:spacing w:before="0" w:after="0"/>
      <w:jc w:val="left"/>
    </w:pPr>
    <w:rPr>
      <w:rFonts w:ascii="Arial" w:hAnsi="Arial" w:eastAsia="Courier New" w:cs="Arial"/>
      <w:b/>
      <w:bCs/>
      <w:color w:val="auto"/>
      <w:kern w:val="0"/>
      <w:sz w:val="20"/>
      <w:szCs w:val="20"/>
      <w:lang w:val="ru-RU" w:eastAsia="ru-RU" w:bidi="ar-SA"/>
    </w:rPr>
  </w:style>
  <w:style w:type="paragraph" w:styleId="Header">
    <w:name w:val="Header"/>
    <w:basedOn w:val="Normal"/>
    <w:uiPriority w:val="99"/>
    <w:unhideWhenUsed/>
    <w:rsid w:val="008c597e"/>
    <w:pPr>
      <w:tabs>
        <w:tab w:val="clear" w:pos="720"/>
        <w:tab w:val="center" w:pos="4677" w:leader="none"/>
        <w:tab w:val="right" w:pos="9355" w:leader="none"/>
      </w:tabs>
    </w:pPr>
    <w:rPr/>
  </w:style>
  <w:style w:type="paragraph" w:styleId="Style27">
    <w:name w:val="Верхний колонтитул слева"/>
    <w:basedOn w:val="Header"/>
    <w:qFormat/>
    <w:pPr>
      <w:suppressLineNumbers/>
      <w:tabs>
        <w:tab w:val="clear" w:pos="4677"/>
        <w:tab w:val="clear" w:pos="9355"/>
        <w:tab w:val="center" w:pos="4819" w:leader="none"/>
        <w:tab w:val="right" w:pos="9638" w:leader="none"/>
      </w:tabs>
    </w:pPr>
    <w:rPr/>
  </w:style>
  <w:style w:type="numbering" w:styleId="NoList" w:default="1">
    <w:name w:val="No List"/>
    <w:uiPriority w:val="99"/>
    <w:semiHidden/>
    <w:unhideWhenUsed/>
    <w:qFormat/>
  </w:style>
  <w:style w:type="numbering" w:styleId="WW8Num17" w:customStyle="1">
    <w:name w:val="WW8Num17"/>
    <w:qFormat/>
  </w:style>
  <w:style w:type="numbering" w:styleId="WW8Num27" w:customStyle="1">
    <w:name w:val="WW8Num27"/>
    <w:qFormat/>
  </w:style>
  <w:style w:type="numbering" w:styleId="WW8Num3" w:customStyle="1">
    <w:name w:val="WW8Num3"/>
    <w:qFormat/>
  </w:style>
  <w:style w:type="numbering" w:styleId="WW8Num18" w:customStyle="1">
    <w:name w:val="WW8Num18"/>
    <w:qFormat/>
  </w:style>
  <w:style w:type="numbering" w:styleId="WW8Num20" w:customStyle="1">
    <w:name w:val="WW8Num20"/>
    <w:qFormat/>
  </w:style>
  <w:style w:type="numbering" w:styleId="WW8Num30" w:customStyle="1">
    <w:name w:val="WW8Num30"/>
    <w:qFormat/>
  </w:style>
  <w:style w:type="numbering" w:styleId="WW8Num29" w:customStyle="1">
    <w:name w:val="WW8Num29"/>
    <w:qFormat/>
  </w:style>
  <w:style w:type="numbering" w:styleId="WW8Num24" w:customStyle="1">
    <w:name w:val="WW8Num24"/>
    <w:qFormat/>
  </w:style>
  <w:style w:type="numbering" w:styleId="WW8Num2" w:customStyle="1">
    <w:name w:val="WW8Num2"/>
    <w:qFormat/>
  </w:style>
  <w:style w:type="numbering" w:styleId="WW8Num4" w:customStyle="1">
    <w:name w:val="WW8Num4"/>
    <w:qFormat/>
  </w:style>
  <w:style w:type="numbering" w:styleId="WW8Num23" w:customStyle="1">
    <w:name w:val="WW8Num23"/>
    <w:qFormat/>
  </w:style>
  <w:style w:type="numbering" w:styleId="WW8Num15" w:customStyle="1">
    <w:name w:val="WW8Num15"/>
    <w:qFormat/>
  </w:style>
  <w:style w:type="numbering" w:styleId="WW8Num7" w:customStyle="1">
    <w:name w:val="WW8Num7"/>
    <w:qFormat/>
  </w:style>
  <w:style w:type="numbering" w:styleId="WW8Num8" w:customStyle="1">
    <w:name w:val="WW8Num8"/>
    <w:qFormat/>
  </w:style>
  <w:style w:type="numbering" w:styleId="WW8Num5" w:customStyle="1">
    <w:name w:val="WW8Num5"/>
    <w:qFormat/>
  </w:style>
  <w:style w:type="numbering" w:styleId="WW8Num38" w:customStyle="1">
    <w:name w:val="WW8Num38"/>
    <w:qFormat/>
  </w:style>
  <w:style w:type="numbering" w:styleId="WW8Num35" w:customStyle="1">
    <w:name w:val="WW8Num35"/>
    <w:qFormat/>
  </w:style>
  <w:style w:type="numbering" w:styleId="WW8Num16" w:customStyle="1">
    <w:name w:val="WW8Num16"/>
    <w:qFormat/>
  </w:style>
  <w:style w:type="numbering" w:styleId="WW8Num21" w:customStyle="1">
    <w:name w:val="WW8Num21"/>
    <w:qFormat/>
  </w:style>
  <w:style w:type="numbering" w:styleId="WW8Num40" w:customStyle="1">
    <w:name w:val="WW8Num40"/>
    <w:qFormat/>
  </w:style>
  <w:style w:type="numbering" w:styleId="WW8Num36" w:customStyle="1">
    <w:name w:val="WW8Num36"/>
    <w:qFormat/>
  </w:style>
  <w:style w:type="numbering" w:styleId="WW8Num14" w:customStyle="1">
    <w:name w:val="WW8Num14"/>
    <w:qFormat/>
  </w:style>
  <w:style w:type="numbering" w:styleId="WW8Num12" w:customStyle="1">
    <w:name w:val="WW8Num12"/>
    <w:qFormat/>
  </w:style>
  <w:style w:type="numbering" w:styleId="WW8Num19" w:customStyle="1">
    <w:name w:val="WW8Num19"/>
    <w:qFormat/>
  </w:style>
  <w:style w:type="numbering" w:styleId="WW8Num28" w:customStyle="1">
    <w:name w:val="WW8Num28"/>
    <w:qFormat/>
  </w:style>
  <w:style w:type="numbering" w:styleId="WW8Num31" w:customStyle="1">
    <w:name w:val="WW8Num31"/>
    <w:qFormat/>
  </w:style>
  <w:style w:type="numbering" w:styleId="WW8Num34" w:customStyle="1">
    <w:name w:val="WW8Num34"/>
    <w:qFormat/>
  </w:style>
  <w:style w:type="numbering" w:styleId="WW8Num39" w:customStyle="1">
    <w:name w:val="WW8Num39"/>
    <w:qFormat/>
  </w:style>
  <w:style w:type="numbering" w:styleId="WW8Num25" w:customStyle="1">
    <w:name w:val="WW8Num25"/>
    <w:qFormat/>
  </w:style>
  <w:style w:type="numbering" w:styleId="WW8Num49" w:customStyle="1">
    <w:name w:val="WW8Num49"/>
    <w:qFormat/>
  </w:style>
  <w:style w:type="numbering" w:styleId="WW8Num51" w:customStyle="1">
    <w:name w:val="WW8Num51"/>
    <w:qFormat/>
  </w:style>
  <w:style w:type="numbering" w:styleId="WW8Num33" w:customStyle="1">
    <w:name w:val="WW8Num33"/>
    <w:qFormat/>
  </w:style>
  <w:style w:type="numbering" w:styleId="WW8Num48" w:customStyle="1">
    <w:name w:val="WW8Num48"/>
    <w:qFormat/>
  </w:style>
  <w:style w:type="numbering" w:styleId="Style28">
    <w:name w:val="Маркер •"/>
    <w:qFormat/>
  </w:style>
  <w:style w:type="numbering" w:styleId="123">
    <w:name w:val="Нумерованный 123"/>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40003</TotalTime>
  <Application>LibreOffice/7.6.7.2$Windows_X86_64 LibreOffice_project/dd47e4b30cb7dab30588d6c79c651f218165e3c5</Application>
  <AppVersion>15.0000</AppVersion>
  <Pages>68</Pages>
  <Words>24369</Words>
  <Characters>156911</Characters>
  <CharactersWithSpaces>183547</CharactersWithSpaces>
  <Paragraphs>2338</Paragraphs>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2025-04-11T15:47:00Z</dcterms:created>
  <dc:creator>User</dc:creator>
  <dc:description/>
  <dc:language>ru-RU</dc:language>
  <cp:lastModifiedBy/>
  <cp:lastPrinted>2026-05-13T08:23:35Z</cp:lastPrinted>
  <dcterms:modified xsi:type="dcterms:W3CDTF">2026-05-13T10:38:49Z</dcterms:modified>
  <cp:revision>1737</cp:revision>
  <dc:subject/>
  <dc:title>Приказ Минфина России от 06.12.2010 N 162н(ред. от 29.03.2023)"Об утверждении Плана счетов бюджетного учета и Инструкции по его применению"(Зарегистрировано в Минюсте России 27.01.2011 N 19593)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