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59" w:rsidRDefault="001C539E">
      <w:pPr>
        <w:shd w:val="clear" w:color="auto" w:fill="FFFFFF"/>
        <w:tabs>
          <w:tab w:val="left" w:pos="5103"/>
        </w:tabs>
        <w:ind w:right="4393"/>
        <w:contextualSpacing/>
        <w:jc w:val="both"/>
        <w:rPr>
          <w:highlight w:val="white"/>
        </w:rPr>
      </w:pPr>
      <w:r>
        <w:rPr>
          <w:rFonts w:eastAsia="Calibri"/>
          <w:sz w:val="28"/>
          <w:highlight w:val="white"/>
        </w:rPr>
        <w:t>УТВЕРЖДАЮ</w:t>
      </w:r>
    </w:p>
    <w:p w:rsidR="00AE5359" w:rsidRDefault="001C539E">
      <w:pPr>
        <w:shd w:val="clear" w:color="auto" w:fill="FFFFFF"/>
        <w:tabs>
          <w:tab w:val="left" w:pos="-73"/>
          <w:tab w:val="left" w:pos="1130"/>
          <w:tab w:val="left" w:pos="5103"/>
          <w:tab w:val="left" w:pos="5954"/>
        </w:tabs>
        <w:ind w:right="4393"/>
        <w:contextualSpacing/>
        <w:rPr>
          <w:highlight w:val="white"/>
        </w:rPr>
      </w:pPr>
      <w:r>
        <w:rPr>
          <w:sz w:val="28"/>
          <w:highlight w:val="white"/>
        </w:rPr>
        <w:t xml:space="preserve">Руководитель службы по охране и использованию объектов животного мира Иркутской области - </w:t>
      </w:r>
    </w:p>
    <w:p w:rsidR="00AE5359" w:rsidRDefault="001C539E">
      <w:pPr>
        <w:shd w:val="clear" w:color="auto" w:fill="FFFFFF"/>
        <w:tabs>
          <w:tab w:val="left" w:pos="-73"/>
          <w:tab w:val="left" w:pos="1130"/>
          <w:tab w:val="left" w:pos="5103"/>
          <w:tab w:val="left" w:pos="5954"/>
        </w:tabs>
        <w:ind w:right="4393"/>
        <w:contextualSpacing/>
        <w:rPr>
          <w:highlight w:val="white"/>
        </w:rPr>
      </w:pPr>
      <w:r>
        <w:rPr>
          <w:sz w:val="28"/>
          <w:highlight w:val="white"/>
        </w:rPr>
        <w:t>главный государственный охотничий инспектор Иркутской области</w:t>
      </w:r>
      <w:r>
        <w:rPr>
          <w:sz w:val="28"/>
          <w:highlight w:val="white"/>
        </w:rPr>
        <w:tab/>
      </w:r>
      <w:r>
        <w:rPr>
          <w:sz w:val="28"/>
          <w:highlight w:val="white"/>
        </w:rPr>
        <w:tab/>
      </w:r>
    </w:p>
    <w:p w:rsidR="00AE5359" w:rsidRDefault="00AE5359">
      <w:pPr>
        <w:shd w:val="clear" w:color="auto" w:fill="FFFFFF"/>
        <w:tabs>
          <w:tab w:val="left" w:pos="-73"/>
          <w:tab w:val="left" w:pos="1130"/>
          <w:tab w:val="left" w:pos="5103"/>
          <w:tab w:val="left" w:pos="5954"/>
        </w:tabs>
        <w:spacing w:after="120"/>
        <w:ind w:right="4393"/>
        <w:contextualSpacing/>
        <w:rPr>
          <w:highlight w:val="white"/>
        </w:rPr>
      </w:pPr>
    </w:p>
    <w:p w:rsidR="00AE5359" w:rsidRDefault="001C539E">
      <w:pPr>
        <w:shd w:val="clear" w:color="auto" w:fill="FFFFFF"/>
        <w:tabs>
          <w:tab w:val="left" w:pos="-73"/>
          <w:tab w:val="left" w:pos="1130"/>
          <w:tab w:val="left" w:pos="5103"/>
          <w:tab w:val="left" w:pos="5954"/>
        </w:tabs>
        <w:spacing w:after="120"/>
        <w:ind w:right="4393"/>
        <w:contextualSpacing/>
        <w:rPr>
          <w:sz w:val="28"/>
          <w:szCs w:val="28"/>
        </w:rPr>
      </w:pPr>
      <w:r>
        <w:rPr>
          <w:sz w:val="28"/>
          <w:highlight w:val="white"/>
        </w:rPr>
        <w:t xml:space="preserve">_____________ В.П. </w:t>
      </w:r>
      <w:proofErr w:type="spellStart"/>
      <w:r>
        <w:rPr>
          <w:sz w:val="28"/>
          <w:highlight w:val="white"/>
        </w:rPr>
        <w:t>Бороденко</w:t>
      </w:r>
      <w:proofErr w:type="spellEnd"/>
    </w:p>
    <w:p w:rsidR="00AE5359" w:rsidRDefault="00AE5359">
      <w:pPr>
        <w:shd w:val="clear" w:color="auto" w:fill="FFFFFF"/>
        <w:tabs>
          <w:tab w:val="left" w:pos="5103"/>
        </w:tabs>
        <w:ind w:right="4393"/>
        <w:contextualSpacing/>
        <w:jc w:val="both"/>
        <w:rPr>
          <w:highlight w:val="white"/>
        </w:rPr>
      </w:pPr>
    </w:p>
    <w:p w:rsidR="00AE5359" w:rsidRDefault="001C539E">
      <w:pPr>
        <w:shd w:val="clear" w:color="auto" w:fill="FFFFFF"/>
        <w:tabs>
          <w:tab w:val="left" w:pos="5103"/>
        </w:tabs>
        <w:ind w:right="439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highlight w:val="white"/>
        </w:rPr>
        <w:t>«____» апреля 2024 года</w:t>
      </w:r>
    </w:p>
    <w:p w:rsidR="00AE5359" w:rsidRDefault="00AE5359">
      <w:pPr>
        <w:shd w:val="clear" w:color="auto" w:fill="FFFFFF"/>
        <w:ind w:firstLine="900"/>
        <w:jc w:val="both"/>
        <w:rPr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highlight w:val="white"/>
        </w:rPr>
      </w:pPr>
    </w:p>
    <w:p w:rsidR="00AE5359" w:rsidRDefault="00AE5359">
      <w:pPr>
        <w:shd w:val="clear" w:color="auto" w:fill="FFFFFF"/>
        <w:ind w:firstLine="900"/>
        <w:jc w:val="center"/>
        <w:rPr>
          <w:highlight w:val="white"/>
        </w:rPr>
      </w:pPr>
    </w:p>
    <w:p w:rsidR="00AE5359" w:rsidRDefault="001C539E">
      <w:pPr>
        <w:shd w:val="clear" w:color="auto" w:fill="FFFFFF"/>
        <w:jc w:val="center"/>
        <w:rPr>
          <w:b/>
          <w:bCs/>
          <w:sz w:val="32"/>
          <w:szCs w:val="32"/>
          <w:highlight w:val="white"/>
        </w:rPr>
      </w:pPr>
      <w:bookmarkStart w:id="0" w:name="_GoBack"/>
      <w:r>
        <w:rPr>
          <w:b/>
          <w:bCs/>
          <w:sz w:val="32"/>
          <w:szCs w:val="32"/>
          <w:highlight w:val="white"/>
        </w:rPr>
        <w:t xml:space="preserve">Предварительные материалы оценки воздействия на окружающую среду, обосновывающие объемы (лимиты, квоты) изъятия объектов животного мира (охотничьих ресурсов), предлагаемых к установлению на территории </w:t>
      </w:r>
    </w:p>
    <w:p w:rsidR="00AE5359" w:rsidRDefault="001C539E">
      <w:pPr>
        <w:shd w:val="clear" w:color="auto" w:fill="FFFFFF"/>
        <w:jc w:val="center"/>
        <w:rPr>
          <w:b/>
          <w:bCs/>
          <w:sz w:val="32"/>
          <w:szCs w:val="32"/>
          <w:highlight w:val="white"/>
        </w:rPr>
      </w:pPr>
      <w:r>
        <w:rPr>
          <w:b/>
          <w:bCs/>
          <w:sz w:val="32"/>
          <w:szCs w:val="32"/>
          <w:highlight w:val="white"/>
        </w:rPr>
        <w:t>Иркутской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highlight w:val="white"/>
        </w:rPr>
        <w:t>области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  <w:highlight w:val="white"/>
        </w:rPr>
        <w:t>за исключением особо охраняемых при</w:t>
      </w:r>
      <w:r>
        <w:rPr>
          <w:b/>
          <w:bCs/>
          <w:sz w:val="32"/>
          <w:szCs w:val="32"/>
          <w:highlight w:val="white"/>
        </w:rPr>
        <w:t>родных территорий федерального значения,</w:t>
      </w:r>
      <w:r>
        <w:rPr>
          <w:b/>
          <w:bCs/>
          <w:sz w:val="32"/>
          <w:szCs w:val="32"/>
          <w:highlight w:val="white"/>
        </w:rPr>
        <w:t xml:space="preserve"> </w:t>
      </w:r>
    </w:p>
    <w:p w:rsidR="00AE5359" w:rsidRDefault="001C539E">
      <w:pPr>
        <w:shd w:val="clear" w:color="auto" w:fill="FFFFFF"/>
        <w:jc w:val="center"/>
        <w:rPr>
          <w:b/>
          <w:bCs/>
          <w:sz w:val="32"/>
          <w:szCs w:val="32"/>
          <w:highlight w:val="white"/>
        </w:rPr>
      </w:pPr>
      <w:r>
        <w:rPr>
          <w:b/>
          <w:bCs/>
          <w:sz w:val="32"/>
          <w:szCs w:val="32"/>
          <w:highlight w:val="white"/>
        </w:rPr>
        <w:t>на период с 1 августа 2024 года по 1 августа 2025 года</w:t>
      </w:r>
    </w:p>
    <w:bookmarkEnd w:id="0"/>
    <w:p w:rsidR="00AE5359" w:rsidRDefault="00AE5359">
      <w:pPr>
        <w:shd w:val="clear" w:color="auto" w:fill="FFFFFF"/>
        <w:ind w:firstLine="900"/>
        <w:jc w:val="center"/>
        <w:rPr>
          <w:highlight w:val="white"/>
        </w:rPr>
      </w:pPr>
    </w:p>
    <w:p w:rsidR="00AE5359" w:rsidRDefault="00AE5359">
      <w:pPr>
        <w:shd w:val="clear" w:color="auto" w:fill="FFFFFF"/>
        <w:ind w:firstLine="900"/>
        <w:jc w:val="center"/>
        <w:rPr>
          <w:highlight w:val="white"/>
        </w:rPr>
      </w:pPr>
    </w:p>
    <w:p w:rsidR="00AE5359" w:rsidRDefault="00AE5359">
      <w:pPr>
        <w:shd w:val="clear" w:color="auto" w:fill="FFFFFF"/>
        <w:ind w:firstLine="900"/>
        <w:jc w:val="center"/>
        <w:rPr>
          <w:highlight w:val="white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AE5359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1C539E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ИСПОЛНИТЕЛЬ:</w:t>
            </w: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AE5359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</w:p>
        </w:tc>
      </w:tr>
      <w:tr w:rsidR="00AE5359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1C539E">
            <w:pPr>
              <w:shd w:val="clear" w:color="auto" w:fill="FFFFFF"/>
              <w:tabs>
                <w:tab w:val="left" w:pos="9355"/>
              </w:tabs>
              <w:ind w:right="14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Начальник отдела охоты и сохранения охотничьих ресурсов, охраны и регулирования использования объектов животного мира и среды их обитания службы по охране и использованию объектов животного мира Иркутской области</w:t>
            </w: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AE5359" w:rsidRDefault="001C539E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Ю.С. Шумилов</w:t>
            </w:r>
          </w:p>
        </w:tc>
      </w:tr>
      <w:tr w:rsidR="00AE5359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AE5359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</w:p>
          <w:p w:rsidR="00AE5359" w:rsidRDefault="00AE5359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</w:tc>
      </w:tr>
      <w:tr w:rsidR="00AE5359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1C539E">
            <w:pPr>
              <w:shd w:val="clear" w:color="auto" w:fill="FFFFFF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СОГЛАСОВАНО:</w:t>
            </w: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</w:tc>
      </w:tr>
      <w:tr w:rsidR="00AE5359">
        <w:tc>
          <w:tcPr>
            <w:tcW w:w="59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1C539E">
            <w:pPr>
              <w:shd w:val="clear" w:color="auto" w:fill="FFFFFF"/>
              <w:ind w:right="-1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Заместитель руководителя службы ветеринарии Иркутской области – </w:t>
            </w:r>
          </w:p>
          <w:p w:rsidR="00AE5359" w:rsidRDefault="001C539E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главный государственный инспектор </w:t>
            </w:r>
          </w:p>
          <w:p w:rsidR="00AE5359" w:rsidRDefault="001C539E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 области обращения с животными </w:t>
            </w:r>
          </w:p>
          <w:p w:rsidR="00AE5359" w:rsidRDefault="001C539E">
            <w:pPr>
              <w:shd w:val="clear" w:color="auto" w:fill="FFFF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Иркутской области</w:t>
            </w:r>
          </w:p>
        </w:tc>
        <w:tc>
          <w:tcPr>
            <w:tcW w:w="36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AE5359" w:rsidRDefault="00AE5359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</w:p>
          <w:p w:rsidR="00AE5359" w:rsidRDefault="001C539E">
            <w:pPr>
              <w:shd w:val="clear" w:color="auto" w:fill="FFFFFF"/>
              <w:jc w:val="righ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И.И. </w:t>
            </w:r>
            <w:proofErr w:type="spellStart"/>
            <w:r>
              <w:rPr>
                <w:sz w:val="28"/>
                <w:szCs w:val="28"/>
                <w:highlight w:val="white"/>
              </w:rPr>
              <w:t>Лобыцин</w:t>
            </w:r>
            <w:proofErr w:type="spellEnd"/>
          </w:p>
        </w:tc>
      </w:tr>
    </w:tbl>
    <w:p w:rsidR="00AE5359" w:rsidRDefault="00AE5359">
      <w:pPr>
        <w:shd w:val="clear" w:color="auto" w:fill="FFFFFF"/>
        <w:jc w:val="both"/>
        <w:rPr>
          <w:highlight w:val="white"/>
        </w:rPr>
      </w:pPr>
    </w:p>
    <w:p w:rsidR="00AE5359" w:rsidRDefault="00AE5359">
      <w:pPr>
        <w:shd w:val="clear" w:color="auto" w:fill="FFFFFF"/>
        <w:jc w:val="both"/>
        <w:rPr>
          <w:highlight w:val="white"/>
        </w:rPr>
      </w:pPr>
    </w:p>
    <w:p w:rsidR="00AE5359" w:rsidRDefault="00AE5359">
      <w:pPr>
        <w:shd w:val="clear" w:color="auto" w:fill="FFFFFF"/>
        <w:jc w:val="both"/>
        <w:rPr>
          <w:highlight w:val="white"/>
        </w:rPr>
      </w:pPr>
    </w:p>
    <w:p w:rsidR="00AE5359" w:rsidRDefault="00AE5359">
      <w:pPr>
        <w:shd w:val="clear" w:color="auto" w:fill="FFFFFF"/>
        <w:jc w:val="both"/>
        <w:rPr>
          <w:highlight w:val="white"/>
        </w:rPr>
      </w:pPr>
    </w:p>
    <w:p w:rsidR="00AE5359" w:rsidRDefault="00AE5359">
      <w:pPr>
        <w:shd w:val="clear" w:color="auto" w:fill="FFFFFF"/>
        <w:jc w:val="both"/>
        <w:rPr>
          <w:highlight w:val="white"/>
        </w:rPr>
      </w:pPr>
    </w:p>
    <w:p w:rsidR="00AE5359" w:rsidRDefault="00AE5359">
      <w:pPr>
        <w:shd w:val="clear" w:color="auto" w:fill="FFFFFF"/>
        <w:jc w:val="both"/>
        <w:rPr>
          <w:highlight w:val="white"/>
        </w:rPr>
      </w:pPr>
    </w:p>
    <w:p w:rsidR="00AE5359" w:rsidRDefault="00AE5359">
      <w:pPr>
        <w:shd w:val="clear" w:color="auto" w:fill="FFFFFF"/>
        <w:jc w:val="both"/>
        <w:rPr>
          <w:highlight w:val="white"/>
        </w:rPr>
      </w:pPr>
    </w:p>
    <w:p w:rsidR="00AE5359" w:rsidRDefault="001C539E">
      <w:pPr>
        <w:shd w:val="clear" w:color="auto" w:fill="FFFFFF"/>
        <w:jc w:val="center"/>
        <w:rPr>
          <w:highlight w:val="white"/>
        </w:rPr>
      </w:pPr>
      <w:r>
        <w:rPr>
          <w:sz w:val="28"/>
          <w:szCs w:val="28"/>
          <w:highlight w:val="white"/>
        </w:rPr>
        <w:t>Иркутск, 2024 г.</w:t>
      </w:r>
    </w:p>
    <w:p w:rsidR="00AE5359" w:rsidRDefault="001C539E">
      <w:pPr>
        <w:shd w:val="clear" w:color="auto" w:fill="FFFFFF"/>
        <w:jc w:val="center"/>
        <w:rPr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Содержание</w:t>
      </w:r>
    </w:p>
    <w:p w:rsidR="00AE5359" w:rsidRDefault="00AE5359">
      <w:pPr>
        <w:shd w:val="clear" w:color="auto" w:fill="FFFFFF"/>
        <w:ind w:firstLine="900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Введение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1. Оценка условий обитания охотничьих ресурсов в 2023-2024 гг. на территории Иркутской области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2. Состояние численности охотничьих ресурсов в </w:t>
      </w:r>
      <w:proofErr w:type="spellStart"/>
      <w:r>
        <w:rPr>
          <w:sz w:val="28"/>
          <w:szCs w:val="28"/>
          <w:highlight w:val="white"/>
        </w:rPr>
        <w:t>послепромысловый</w:t>
      </w:r>
      <w:proofErr w:type="spellEnd"/>
      <w:r>
        <w:rPr>
          <w:sz w:val="28"/>
          <w:szCs w:val="28"/>
          <w:highlight w:val="white"/>
        </w:rPr>
        <w:t xml:space="preserve"> период 2024 года на территории Иркутской области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3. Результаты общественных обсуждений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4. Оценка </w:t>
      </w:r>
      <w:r>
        <w:rPr>
          <w:sz w:val="28"/>
          <w:szCs w:val="28"/>
          <w:highlight w:val="white"/>
        </w:rPr>
        <w:t>воздействия на окружающую среду в случае разрушения или ухудшения среды обитания объектов животного мира (лесные пожары) на территории Иркутской области в 2023 г.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5. Осуществление федерального государственного охотничьего контроля (надзора) на территории И</w:t>
      </w:r>
      <w:r>
        <w:rPr>
          <w:sz w:val="28"/>
          <w:szCs w:val="28"/>
          <w:highlight w:val="white"/>
        </w:rPr>
        <w:t>ркутской области в 2023 г.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6. Анализ добычи охотничьих ресурсов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7. Оценка воздействия на окружающую среду при освоении объемов (квот, лимитов) изъятия охотничьих ресурсов, предлагаемых к установлению на территории Иркутской области в сезон охоты 2024-2025 </w:t>
      </w:r>
      <w:r>
        <w:rPr>
          <w:sz w:val="28"/>
          <w:szCs w:val="28"/>
          <w:highlight w:val="white"/>
        </w:rPr>
        <w:t>гг.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(таблицы №№ 1-4).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Проект лимита и квот добычи охотничьих ресурсов </w:t>
      </w:r>
      <w:r>
        <w:rPr>
          <w:sz w:val="28"/>
          <w:szCs w:val="28"/>
          <w:highlight w:val="white"/>
        </w:rPr>
        <w:t xml:space="preserve">на территории Иркутской области </w:t>
      </w:r>
      <w:r>
        <w:rPr>
          <w:sz w:val="28"/>
          <w:szCs w:val="28"/>
        </w:rPr>
        <w:t>на период с 1 августа 2024 года по 1 августа 2025 года.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Заключение</w:t>
      </w:r>
    </w:p>
    <w:p w:rsidR="00AE5359" w:rsidRDefault="00AE5359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ind w:firstLine="709"/>
        <w:jc w:val="both"/>
        <w:rPr>
          <w:sz w:val="28"/>
          <w:szCs w:val="28"/>
        </w:rPr>
      </w:pPr>
    </w:p>
    <w:p w:rsidR="00AE5359" w:rsidRDefault="00AE5359">
      <w:pPr>
        <w:ind w:firstLine="709"/>
        <w:jc w:val="both"/>
        <w:rPr>
          <w:sz w:val="28"/>
          <w:szCs w:val="28"/>
        </w:rPr>
      </w:pPr>
    </w:p>
    <w:p w:rsidR="00AE5359" w:rsidRDefault="00AE5359">
      <w:pPr>
        <w:ind w:firstLine="709"/>
        <w:jc w:val="both"/>
        <w:rPr>
          <w:sz w:val="28"/>
          <w:szCs w:val="28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sz w:val="28"/>
          <w:szCs w:val="28"/>
          <w:highlight w:val="white"/>
        </w:rPr>
      </w:pPr>
    </w:p>
    <w:p w:rsidR="00AE5359" w:rsidRDefault="001C539E">
      <w:pPr>
        <w:shd w:val="clear" w:color="auto" w:fill="FFFFFF"/>
        <w:jc w:val="center"/>
        <w:rPr>
          <w:highlight w:val="white"/>
        </w:rPr>
      </w:pPr>
      <w:r>
        <w:rPr>
          <w:b/>
          <w:sz w:val="28"/>
          <w:szCs w:val="32"/>
          <w:highlight w:val="white"/>
        </w:rPr>
        <w:lastRenderedPageBreak/>
        <w:t>Введение</w:t>
      </w:r>
    </w:p>
    <w:p w:rsidR="00AE5359" w:rsidRDefault="00AE5359">
      <w:pPr>
        <w:shd w:val="clear" w:color="auto" w:fill="FFFFFF"/>
        <w:ind w:firstLine="900"/>
        <w:jc w:val="center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положениям Федерального закона от 24.07.2009 № 209-ФЗ «Об охоте и о сохранении охотничьих ресурсов и внесения изменений в отдельные законодательные акты Российской Федерации» (далее – Федеральный закон «Об охоте») к особо охотничьим животным, изъя</w:t>
      </w:r>
      <w:r>
        <w:rPr>
          <w:sz w:val="28"/>
          <w:szCs w:val="28"/>
          <w:highlight w:val="white"/>
        </w:rPr>
        <w:t xml:space="preserve">тие которых из среды обитания (добыча) подлежит лимитированию, относятся: копытные животные (лось, благородный олень, косуля сибирская, кабарга, дикий северный олень), медведь бурый и пушные животные (соболь, рысь, барсук). 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Перечисленные виды диких животн</w:t>
      </w:r>
      <w:r>
        <w:rPr>
          <w:sz w:val="28"/>
          <w:szCs w:val="28"/>
          <w:highlight w:val="white"/>
        </w:rPr>
        <w:t>ых на территории Иркутской области являются наиболее ценными и востребованными объектами охоты. Определение оптимального объема (квот, лимитов) изъятия данных охотничьих ресурсов, а также проведение оценки воздействия на окружающую среду при освоении объем</w:t>
      </w:r>
      <w:r>
        <w:rPr>
          <w:sz w:val="28"/>
          <w:szCs w:val="28"/>
          <w:highlight w:val="white"/>
        </w:rPr>
        <w:t xml:space="preserve">ов их изъятия является важной природоохранной и народно-хозяйственной задачей. 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При осуществлении данных мероприятий главной мерой сохранения охотничьих ресурсов (копытных и пушных животных, медведя бурого) является их </w:t>
      </w:r>
      <w:proofErr w:type="spellStart"/>
      <w:r>
        <w:rPr>
          <w:sz w:val="28"/>
          <w:szCs w:val="28"/>
          <w:highlight w:val="white"/>
        </w:rPr>
        <w:t>неистощительное</w:t>
      </w:r>
      <w:proofErr w:type="spellEnd"/>
      <w:r>
        <w:rPr>
          <w:sz w:val="28"/>
          <w:szCs w:val="28"/>
          <w:highlight w:val="white"/>
        </w:rPr>
        <w:t xml:space="preserve"> и долговременное испо</w:t>
      </w:r>
      <w:r>
        <w:rPr>
          <w:sz w:val="28"/>
          <w:szCs w:val="28"/>
          <w:highlight w:val="white"/>
        </w:rPr>
        <w:t>льзование. В целях выполнения этой задачи, в том числе применялись нормативы изъятия ниже предельно допустимых. При этом учитывались следующие показатели: доля нелегальной добычи, общий уровень ведения охотничьего хозяйства юридическими лицами и индивидуал</w:t>
      </w:r>
      <w:r>
        <w:rPr>
          <w:sz w:val="28"/>
          <w:szCs w:val="28"/>
          <w:highlight w:val="white"/>
        </w:rPr>
        <w:t>ьными предпринимателями (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>) Иркутской области, а также состояние численности и плотности населения охотничьих ресурсов (численность вида на единицу площади охотничьих угодий).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реализации предлагаемого проекта объемов (квот, лимитов) до</w:t>
      </w:r>
      <w:r>
        <w:rPr>
          <w:sz w:val="28"/>
          <w:szCs w:val="28"/>
          <w:highlight w:val="white"/>
        </w:rPr>
        <w:t>бычи охотничьих ресурсов каких-либо негативных последствий (снижение численности) для популяций лимитируемых видов охотничьих ресурсов не прогнозируется.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Ведение охотничьего хозяйства в Иркутской области имеет сезонный характер, его специфика – использован</w:t>
      </w:r>
      <w:r>
        <w:rPr>
          <w:sz w:val="28"/>
          <w:szCs w:val="28"/>
          <w:highlight w:val="white"/>
        </w:rPr>
        <w:t>ие годового прироста охотничьих животных. Наиболее длительным сезоном охоты является осенне-зимний, поэтому основные объемы использования годового прироста охотничьих ресурсов приходятся на этот период. Весенний сезон охоты ограничен продолжительностью и к</w:t>
      </w:r>
      <w:r>
        <w:rPr>
          <w:sz w:val="28"/>
          <w:szCs w:val="28"/>
          <w:highlight w:val="white"/>
        </w:rPr>
        <w:t>оличеством видов охотничьих ресурсов, на которые разрешена охота (медведь бурый, самцы благородного оленя с неокостеневшими рогами («пантами»).</w:t>
      </w:r>
    </w:p>
    <w:p w:rsidR="00AE5359" w:rsidRDefault="001C539E">
      <w:pPr>
        <w:shd w:val="clear" w:color="auto" w:fill="FFFFFF"/>
        <w:ind w:firstLine="709"/>
        <w:contextualSpacing/>
        <w:jc w:val="both"/>
        <w:rPr>
          <w:highlight w:val="white"/>
        </w:rPr>
      </w:pPr>
      <w:r>
        <w:rPr>
          <w:sz w:val="28"/>
          <w:szCs w:val="24"/>
          <w:highlight w:val="white"/>
          <w:lang w:eastAsia="ru-RU"/>
        </w:rPr>
        <w:t>На территории Иркутской области осуществляют пользование объектами животного мира 116 юридических лиц и индивиду</w:t>
      </w:r>
      <w:r>
        <w:rPr>
          <w:sz w:val="28"/>
          <w:szCs w:val="24"/>
          <w:highlight w:val="white"/>
          <w:lang w:eastAsia="ru-RU"/>
        </w:rPr>
        <w:t>альных предпринимателей (</w:t>
      </w:r>
      <w:proofErr w:type="spellStart"/>
      <w:r>
        <w:rPr>
          <w:sz w:val="28"/>
          <w:szCs w:val="24"/>
          <w:highlight w:val="white"/>
          <w:lang w:eastAsia="ru-RU"/>
        </w:rPr>
        <w:t>охотпользователей</w:t>
      </w:r>
      <w:proofErr w:type="spellEnd"/>
      <w:r>
        <w:rPr>
          <w:sz w:val="28"/>
          <w:szCs w:val="24"/>
          <w:highlight w:val="white"/>
          <w:lang w:eastAsia="ru-RU"/>
        </w:rPr>
        <w:t>) на территории 186 охотничьих хозяйств.</w:t>
      </w:r>
    </w:p>
    <w:p w:rsidR="00AE5359" w:rsidRDefault="001C539E">
      <w:pPr>
        <w:shd w:val="clear" w:color="auto" w:fill="FFFFFF"/>
        <w:ind w:firstLine="709"/>
        <w:contextualSpacing/>
        <w:jc w:val="both"/>
        <w:rPr>
          <w:highlight w:val="white"/>
        </w:rPr>
      </w:pPr>
      <w:r>
        <w:rPr>
          <w:sz w:val="28"/>
          <w:szCs w:val="24"/>
          <w:highlight w:val="white"/>
          <w:lang w:eastAsia="ru-RU"/>
        </w:rPr>
        <w:t xml:space="preserve">Общая площадь охотничьих угодий в Иркутской области составляет </w:t>
      </w:r>
      <w:r>
        <w:rPr>
          <w:sz w:val="28"/>
          <w:szCs w:val="24"/>
          <w:highlight w:val="white"/>
          <w:lang w:eastAsia="ru-RU"/>
        </w:rPr>
        <w:br/>
        <w:t xml:space="preserve">71 256 тыс. га, из которых площадь закреплённых охотничьих угодий </w:t>
      </w:r>
      <w:r>
        <w:rPr>
          <w:sz w:val="28"/>
          <w:szCs w:val="24"/>
          <w:highlight w:val="white"/>
          <w:lang w:eastAsia="ru-RU"/>
        </w:rPr>
        <w:lastRenderedPageBreak/>
        <w:t>составляет 43 819</w:t>
      </w:r>
      <w:r>
        <w:rPr>
          <w:sz w:val="28"/>
          <w:szCs w:val="24"/>
          <w:highlight w:val="white"/>
          <w:lang w:eastAsia="ru-RU"/>
        </w:rPr>
        <w:t xml:space="preserve"> тыс. га, площадь общедоступных охотничьих угодий - </w:t>
      </w:r>
      <w:r>
        <w:rPr>
          <w:sz w:val="28"/>
          <w:szCs w:val="24"/>
          <w:highlight w:val="white"/>
          <w:lang w:eastAsia="ru-RU"/>
        </w:rPr>
        <w:br/>
        <w:t>27 437 тыс. га.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Для оценки воздействия на окружающую среду при освоении объемов (квот, лимитов) изъятия охотничьих ресурсов использованы отчеты по проведению зимнего маршрутного учета численности охотнич</w:t>
      </w:r>
      <w:r>
        <w:rPr>
          <w:sz w:val="28"/>
          <w:szCs w:val="28"/>
          <w:highlight w:val="white"/>
        </w:rPr>
        <w:t>ьих животных в Иркутской области в 2022-2024 гг., подготовленные службой по охране и использованию объектов животного мира Иркутской области (далее – служба).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Для расчета прироста популяций и лимита изъятия копытных и пушных животных использованы материалы</w:t>
      </w:r>
      <w:r>
        <w:rPr>
          <w:sz w:val="28"/>
          <w:szCs w:val="28"/>
          <w:highlight w:val="white"/>
        </w:rPr>
        <w:t xml:space="preserve"> следующих справочников: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Карелов А.М. и др. «Учебная книга промыслового охотника», кн. 2 –М, 1990.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Дежкин В.В. «Управление популяциями диких копытных» - М., 1985, Данилкин А.А. Оленьи (</w:t>
      </w:r>
      <w:proofErr w:type="spellStart"/>
      <w:r>
        <w:rPr>
          <w:sz w:val="28"/>
          <w:szCs w:val="28"/>
          <w:highlight w:val="white"/>
        </w:rPr>
        <w:t>Cervidae</w:t>
      </w:r>
      <w:proofErr w:type="spellEnd"/>
      <w:r>
        <w:rPr>
          <w:sz w:val="28"/>
          <w:szCs w:val="28"/>
          <w:highlight w:val="white"/>
        </w:rPr>
        <w:t xml:space="preserve">) М., </w:t>
      </w:r>
      <w:proofErr w:type="spellStart"/>
      <w:r>
        <w:rPr>
          <w:sz w:val="28"/>
          <w:szCs w:val="28"/>
          <w:highlight w:val="white"/>
        </w:rPr>
        <w:t>Геос</w:t>
      </w:r>
      <w:proofErr w:type="spellEnd"/>
      <w:r>
        <w:rPr>
          <w:sz w:val="28"/>
          <w:szCs w:val="28"/>
          <w:highlight w:val="white"/>
        </w:rPr>
        <w:t>, 1999 г.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По копытным животным (лось, благородный</w:t>
      </w:r>
      <w:r>
        <w:rPr>
          <w:sz w:val="28"/>
          <w:szCs w:val="28"/>
          <w:highlight w:val="white"/>
        </w:rPr>
        <w:t xml:space="preserve"> олень, косуля сибирская, кабарга, дикий северный олень) использованы средние многолетние данные прироста популяций, установленные для Иркутской области на основании исследований ФГБНУ «Всероссийский научно-исследовательский институт охотничьего хозяйства </w:t>
      </w:r>
      <w:r>
        <w:rPr>
          <w:sz w:val="28"/>
          <w:szCs w:val="28"/>
          <w:highlight w:val="white"/>
        </w:rPr>
        <w:t>и звероводства имени профессора Б.М. Житкова».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Проект лимита добычи охотничьих ресурсов определен, в том числе на основании представленных в службу 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 xml:space="preserve"> заявок на установление квот добычи охотничьих ресурсов с учетом требований приказа Минпри</w:t>
      </w:r>
      <w:r>
        <w:rPr>
          <w:sz w:val="28"/>
          <w:szCs w:val="28"/>
          <w:highlight w:val="white"/>
        </w:rPr>
        <w:t>роды России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составу».</w:t>
      </w:r>
    </w:p>
    <w:p w:rsidR="00AE5359" w:rsidRDefault="001C539E">
      <w:pPr>
        <w:shd w:val="clear" w:color="auto" w:fill="FFFFFF"/>
        <w:ind w:firstLine="709"/>
        <w:jc w:val="both"/>
      </w:pPr>
      <w:r>
        <w:rPr>
          <w:sz w:val="28"/>
          <w:szCs w:val="28"/>
          <w:highlight w:val="white"/>
        </w:rPr>
        <w:t>Проекты квот добычи охотничьих ресурсов в отношении</w:t>
      </w:r>
      <w:r>
        <w:rPr>
          <w:sz w:val="28"/>
          <w:szCs w:val="28"/>
          <w:highlight w:val="white"/>
        </w:rPr>
        <w:t xml:space="preserve"> закрепленных охотничьих угодий не устанавливались в меньшем объеме, чем объеме, определенном в заявках, представленных 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 xml:space="preserve"> в службу, за исключением 5 случаев</w:t>
      </w:r>
      <w:r>
        <w:rPr>
          <w:sz w:val="28"/>
          <w:szCs w:val="28"/>
        </w:rPr>
        <w:t xml:space="preserve">, в которых заявленные квоты были сокращены в связи с превышением </w:t>
      </w:r>
      <w:r>
        <w:rPr>
          <w:sz w:val="28"/>
          <w:szCs w:val="28"/>
          <w:highlight w:val="white"/>
        </w:rPr>
        <w:t>максимально возмо</w:t>
      </w:r>
      <w:r>
        <w:rPr>
          <w:sz w:val="28"/>
          <w:szCs w:val="28"/>
          <w:highlight w:val="white"/>
        </w:rPr>
        <w:t xml:space="preserve">жной квоты добычи, рассчитанной 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 xml:space="preserve"> в соответствии с Нормативами допустимого изъятия охотничьих ресурсов, в отношении которых утверждается лимит добычи охотничьих ресурсов, утвержденными приказом Минприроды России от 27.01.2022 № 49</w:t>
      </w:r>
      <w:r>
        <w:rPr>
          <w:sz w:val="28"/>
          <w:szCs w:val="28"/>
        </w:rPr>
        <w:t>. О чем с</w:t>
      </w:r>
      <w:r>
        <w:rPr>
          <w:sz w:val="28"/>
          <w:szCs w:val="28"/>
        </w:rPr>
        <w:t xml:space="preserve">лужба в письменной форме уведомила </w:t>
      </w:r>
      <w:proofErr w:type="spellStart"/>
      <w:r>
        <w:rPr>
          <w:sz w:val="28"/>
          <w:szCs w:val="28"/>
        </w:rPr>
        <w:t>охотпользователей</w:t>
      </w:r>
      <w:proofErr w:type="spellEnd"/>
      <w:r>
        <w:rPr>
          <w:sz w:val="28"/>
          <w:szCs w:val="28"/>
        </w:rPr>
        <w:t xml:space="preserve"> (ООО «Тайга», ООО «Таежное», ООО «Зеленый дом», </w:t>
      </w:r>
      <w:proofErr w:type="spellStart"/>
      <w:r>
        <w:rPr>
          <w:sz w:val="28"/>
          <w:szCs w:val="28"/>
        </w:rPr>
        <w:t>Тулунское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РОИОООиР</w:t>
      </w:r>
      <w:proofErr w:type="spellEnd"/>
      <w:r>
        <w:rPr>
          <w:sz w:val="28"/>
          <w:szCs w:val="28"/>
        </w:rPr>
        <w:t>, община КМНС Севера «</w:t>
      </w:r>
      <w:proofErr w:type="spellStart"/>
      <w:r>
        <w:rPr>
          <w:sz w:val="28"/>
          <w:szCs w:val="28"/>
        </w:rPr>
        <w:t>Илэл</w:t>
      </w:r>
      <w:proofErr w:type="spellEnd"/>
      <w:r>
        <w:rPr>
          <w:sz w:val="28"/>
          <w:szCs w:val="28"/>
        </w:rPr>
        <w:t>»).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одном случае (ООО «Угорье») квота добычи охотничьих ресурсов не устанавливалась по причине отсутствия зая</w:t>
      </w:r>
      <w:r>
        <w:rPr>
          <w:sz w:val="28"/>
          <w:szCs w:val="28"/>
          <w:highlight w:val="white"/>
        </w:rPr>
        <w:t xml:space="preserve">вки на добычу, непредставления </w:t>
      </w:r>
      <w:proofErr w:type="spellStart"/>
      <w:r>
        <w:rPr>
          <w:sz w:val="28"/>
          <w:szCs w:val="28"/>
          <w:highlight w:val="white"/>
        </w:rPr>
        <w:t>охотпользователем</w:t>
      </w:r>
      <w:proofErr w:type="spellEnd"/>
      <w:r>
        <w:rPr>
          <w:sz w:val="28"/>
          <w:szCs w:val="28"/>
          <w:highlight w:val="white"/>
        </w:rPr>
        <w:t xml:space="preserve"> в службу материалов ЗМУ, отсутствием в данных государственного мониторинга охотничьих ресурсов и среды их обитания сведений о численности охотничьих ресурсов и объемах их изъятия в отношении закрепленного ох</w:t>
      </w:r>
      <w:r>
        <w:rPr>
          <w:sz w:val="28"/>
          <w:szCs w:val="28"/>
          <w:highlight w:val="white"/>
        </w:rPr>
        <w:t>отничьего угодья.</w:t>
      </w:r>
    </w:p>
    <w:p w:rsidR="00AE5359" w:rsidRDefault="00AE535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Добыча охотничьих ресурсов определена строго регламентированными сроками охоты, которые не превышают предельных сроков, установленных Правилами охоты, утвержденными приказом Министерства природных ресурсов и экологии РФ от 24.07.2020 № 4</w:t>
      </w:r>
      <w:r>
        <w:rPr>
          <w:sz w:val="28"/>
          <w:szCs w:val="28"/>
          <w:highlight w:val="white"/>
        </w:rPr>
        <w:t>77 (далее – Правила охоты), а также указом Губернатора Иркутской области от 14.08.2023 № 244-уг «О видах разрешенной охоты, сроках охоты, допустимых для использования орудия охоты и иных ограничениях охоты в охотничьих угодьях Иркутской области, за исключе</w:t>
      </w:r>
      <w:r>
        <w:rPr>
          <w:sz w:val="28"/>
          <w:szCs w:val="28"/>
          <w:highlight w:val="white"/>
        </w:rPr>
        <w:t>нием особо охраняемых природных территорий федерального значения и признании утратившими силу отдельных указов Губернатора Иркутской области».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Кроме того, для оценки воздействия на окружающую среду при освоении объемов (квот, лимитов) изъятия охотничьих ре</w:t>
      </w:r>
      <w:r>
        <w:rPr>
          <w:sz w:val="28"/>
          <w:szCs w:val="28"/>
          <w:highlight w:val="white"/>
        </w:rPr>
        <w:t xml:space="preserve">сурсов анализировались ведомственные материалы по результатам фактического использования 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 xml:space="preserve"> квот в прошедшие сезоны охоты, по данным использованных разрешений на добычу охотничьих ресурсов.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При определении объемов (квот, лимитов) изъятия ук</w:t>
      </w:r>
      <w:r>
        <w:rPr>
          <w:color w:val="000000"/>
          <w:sz w:val="28"/>
          <w:szCs w:val="28"/>
          <w:highlight w:val="white"/>
        </w:rPr>
        <w:t xml:space="preserve">азанных видов охотничьих животных основными материалами являются результаты </w:t>
      </w:r>
      <w:proofErr w:type="spellStart"/>
      <w:r>
        <w:rPr>
          <w:color w:val="000000"/>
          <w:sz w:val="28"/>
          <w:szCs w:val="28"/>
          <w:highlight w:val="white"/>
        </w:rPr>
        <w:t>послепромыслового</w:t>
      </w:r>
      <w:proofErr w:type="spellEnd"/>
      <w:r>
        <w:rPr>
          <w:color w:val="000000"/>
          <w:sz w:val="28"/>
          <w:szCs w:val="28"/>
          <w:highlight w:val="white"/>
        </w:rPr>
        <w:t xml:space="preserve"> учета численности копытных и пушных </w:t>
      </w:r>
      <w:r>
        <w:rPr>
          <w:sz w:val="28"/>
          <w:szCs w:val="28"/>
          <w:highlight w:val="white"/>
        </w:rPr>
        <w:t>животных</w:t>
      </w:r>
      <w:r>
        <w:rPr>
          <w:color w:val="000000"/>
          <w:sz w:val="28"/>
          <w:szCs w:val="28"/>
          <w:highlight w:val="white"/>
        </w:rPr>
        <w:t>, согласно Методике учета численности охотничьих ресурсов методом зимнего маршрутного учета, Методике учета</w:t>
      </w:r>
      <w:r>
        <w:rPr>
          <w:color w:val="000000"/>
          <w:sz w:val="28"/>
          <w:szCs w:val="28"/>
        </w:rPr>
        <w:t xml:space="preserve"> численност</w:t>
      </w:r>
      <w:r>
        <w:rPr>
          <w:color w:val="000000"/>
          <w:sz w:val="28"/>
          <w:szCs w:val="28"/>
        </w:rPr>
        <w:t xml:space="preserve">и охотничьих ресурсов методом шумового прогона, </w:t>
      </w:r>
      <w:r>
        <w:rPr>
          <w:color w:val="000000"/>
          <w:sz w:val="28"/>
          <w:szCs w:val="28"/>
          <w:highlight w:val="white"/>
        </w:rPr>
        <w:t xml:space="preserve">утвержденными приказом ФГБУ «Федеральный научно-исследовательский центр развития охотничьего хозяйства» </w:t>
      </w:r>
      <w:r>
        <w:rPr>
          <w:color w:val="000000"/>
          <w:sz w:val="28"/>
          <w:szCs w:val="28"/>
        </w:rPr>
        <w:t>от 22.11.2023 № 49,</w:t>
      </w:r>
      <w:r>
        <w:rPr>
          <w:color w:val="000000"/>
          <w:sz w:val="28"/>
          <w:szCs w:val="28"/>
          <w:highlight w:val="white"/>
        </w:rPr>
        <w:t xml:space="preserve"> а также иных методик учета или научных подходов учета</w:t>
      </w:r>
      <w:r>
        <w:rPr>
          <w:sz w:val="28"/>
          <w:szCs w:val="28"/>
          <w:highlight w:val="white"/>
        </w:rPr>
        <w:t>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Порядк</w:t>
      </w:r>
      <w:r>
        <w:rPr>
          <w:sz w:val="28"/>
          <w:szCs w:val="28"/>
          <w:highlight w:val="white"/>
        </w:rPr>
        <w:t xml:space="preserve">а осуществления государственного мониторинга охотничьих ресурсов и среды их обитания и применения его данных, утвержденного приказом Минприроды России от 27.07.2021 № 512, </w:t>
      </w:r>
      <w:proofErr w:type="spellStart"/>
      <w:r>
        <w:rPr>
          <w:sz w:val="28"/>
          <w:szCs w:val="28"/>
          <w:highlight w:val="white"/>
        </w:rPr>
        <w:t>охотпользователи</w:t>
      </w:r>
      <w:proofErr w:type="spellEnd"/>
      <w:r>
        <w:rPr>
          <w:sz w:val="28"/>
          <w:szCs w:val="28"/>
          <w:highlight w:val="white"/>
        </w:rPr>
        <w:t xml:space="preserve"> приняли решения о применении одной или нескольких методик учета и (</w:t>
      </w:r>
      <w:r>
        <w:rPr>
          <w:sz w:val="28"/>
          <w:szCs w:val="28"/>
          <w:highlight w:val="white"/>
        </w:rPr>
        <w:t xml:space="preserve">или) научных подходов учета, предусмотренных пунктами 5 и 6 указанного Порядка, и определили сроки осуществления учета охотничьих ресурсов и своевременно уведомили службу о принятом решении. </w:t>
      </w:r>
      <w:proofErr w:type="spellStart"/>
      <w:r>
        <w:rPr>
          <w:sz w:val="28"/>
          <w:szCs w:val="28"/>
          <w:highlight w:val="white"/>
        </w:rPr>
        <w:t>Охотпользователям</w:t>
      </w:r>
      <w:proofErr w:type="spellEnd"/>
      <w:r>
        <w:rPr>
          <w:sz w:val="28"/>
          <w:szCs w:val="28"/>
          <w:highlight w:val="white"/>
        </w:rPr>
        <w:t xml:space="preserve"> не выполнившим указанное требование службой объ</w:t>
      </w:r>
      <w:r>
        <w:rPr>
          <w:sz w:val="28"/>
          <w:szCs w:val="28"/>
          <w:highlight w:val="white"/>
        </w:rPr>
        <w:t xml:space="preserve">явлены и направлены предостережения о </w:t>
      </w:r>
      <w:r>
        <w:rPr>
          <w:sz w:val="28"/>
          <w:szCs w:val="28"/>
        </w:rPr>
        <w:t>недопустимости нарушения обязательных требований.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Мероприятия по учету численности и распространения охотничьих ресурсов проводятся в соответствии с принятыми методиками, а при их отсутствии – по имеющимся научным подх</w:t>
      </w:r>
      <w:r>
        <w:rPr>
          <w:sz w:val="28"/>
          <w:szCs w:val="28"/>
          <w:highlight w:val="white"/>
        </w:rPr>
        <w:t>одам учета для видов или групп видов охотничьих ресурсов. Для определения объемов (квот, лимитов) изъятия медведя бурого и барсука, численность которых невозможно определить методом ЗМУ, применялись иные способы учета численности, в периоды активной жизнед</w:t>
      </w:r>
      <w:r>
        <w:rPr>
          <w:sz w:val="28"/>
          <w:szCs w:val="28"/>
          <w:highlight w:val="white"/>
        </w:rPr>
        <w:t>еятельности этих животных,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методом опроса или анкетирования охотников, а также другими методами учета (в том числе согласно Методическому руководству по учету численности охотничьих животных в лесном фонде Российской Федерации Федеральной службы </w:t>
      </w:r>
      <w:r>
        <w:rPr>
          <w:sz w:val="28"/>
          <w:szCs w:val="28"/>
          <w:highlight w:val="white"/>
        </w:rPr>
        <w:lastRenderedPageBreak/>
        <w:t>лесного хо</w:t>
      </w:r>
      <w:r>
        <w:rPr>
          <w:sz w:val="28"/>
          <w:szCs w:val="28"/>
          <w:highlight w:val="white"/>
        </w:rPr>
        <w:t>зяйства России от 19.05.1999 № 111, Методическим указаниям по учету медведя в весенний период Производственного объединения «</w:t>
      </w:r>
      <w:proofErr w:type="spellStart"/>
      <w:r>
        <w:rPr>
          <w:sz w:val="28"/>
          <w:szCs w:val="28"/>
          <w:highlight w:val="white"/>
        </w:rPr>
        <w:t>Бурятпромохота</w:t>
      </w:r>
      <w:proofErr w:type="spellEnd"/>
      <w:r>
        <w:rPr>
          <w:sz w:val="28"/>
          <w:szCs w:val="28"/>
          <w:highlight w:val="white"/>
        </w:rPr>
        <w:t>», Улан-Удэ, 1990).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Охота на особо охраняемых природных территориях регионального значения (государственных природных</w:t>
      </w:r>
      <w:r>
        <w:rPr>
          <w:sz w:val="28"/>
          <w:szCs w:val="28"/>
          <w:highlight w:val="white"/>
        </w:rPr>
        <w:t xml:space="preserve"> заказников регионального значения, памятниках природы регионального значения) не осуществляется, показатели численности охотничьих ресурсов на данных территориях при определении квот добычи охотничьих ресурсов не учитывались.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службу не поступали заявки </w:t>
      </w:r>
      <w:r>
        <w:rPr>
          <w:sz w:val="28"/>
          <w:szCs w:val="28"/>
          <w:highlight w:val="white"/>
        </w:rPr>
        <w:t xml:space="preserve">для установления объемов (квот) добычи охотничьих ресурсов в целях научно-исследовательской деятельности, а также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>
        <w:rPr>
          <w:sz w:val="28"/>
          <w:szCs w:val="28"/>
          <w:highlight w:val="white"/>
        </w:rPr>
        <w:t>полувольных</w:t>
      </w:r>
      <w:proofErr w:type="spellEnd"/>
      <w:r>
        <w:rPr>
          <w:sz w:val="28"/>
          <w:szCs w:val="28"/>
          <w:highlight w:val="white"/>
        </w:rPr>
        <w:t xml:space="preserve"> усло</w:t>
      </w:r>
      <w:r>
        <w:rPr>
          <w:sz w:val="28"/>
          <w:szCs w:val="28"/>
          <w:highlight w:val="white"/>
        </w:rPr>
        <w:t>виях и искусственно созданной среде обитания.</w:t>
      </w:r>
    </w:p>
    <w:p w:rsidR="00AE5359" w:rsidRDefault="00AE5359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bCs/>
          <w:highlight w:val="white"/>
        </w:rPr>
      </w:pPr>
      <w:r>
        <w:rPr>
          <w:b/>
          <w:bCs/>
          <w:sz w:val="28"/>
          <w:szCs w:val="32"/>
          <w:highlight w:val="white"/>
        </w:rPr>
        <w:t>1. Оценка условий обитания охотничьих ресурсов</w:t>
      </w:r>
      <w:r>
        <w:rPr>
          <w:b/>
          <w:bCs/>
          <w:sz w:val="28"/>
          <w:szCs w:val="28"/>
          <w:highlight w:val="white"/>
        </w:rPr>
        <w:t xml:space="preserve"> </w:t>
      </w:r>
      <w:r>
        <w:rPr>
          <w:b/>
          <w:bCs/>
          <w:sz w:val="28"/>
          <w:szCs w:val="32"/>
          <w:highlight w:val="white"/>
        </w:rPr>
        <w:t>в 2023</w:t>
      </w:r>
      <w:r>
        <w:rPr>
          <w:bCs/>
          <w:sz w:val="28"/>
          <w:szCs w:val="32"/>
          <w:highlight w:val="white"/>
        </w:rPr>
        <w:t>-</w:t>
      </w:r>
      <w:r>
        <w:rPr>
          <w:b/>
          <w:bCs/>
          <w:sz w:val="28"/>
          <w:szCs w:val="32"/>
          <w:highlight w:val="white"/>
        </w:rPr>
        <w:t>2024 гг. на территории Иркутской области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Иркутская область расположена в Центральной части Восточной Сибири. Территория условно подразделяется на 3 группы</w:t>
      </w:r>
      <w:r>
        <w:rPr>
          <w:sz w:val="28"/>
          <w:szCs w:val="28"/>
          <w:highlight w:val="white"/>
        </w:rPr>
        <w:t xml:space="preserve"> районов: Северная, Ленно-Ангарская, Саяно-Прибайкальская. Эти группы районов отличаются значительным разнообразием природных условий, которые существенным образом оказывают влияние на обитание охотничьих ресурсов.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Оценка условий обитания для лося, благоро</w:t>
      </w:r>
      <w:r>
        <w:rPr>
          <w:sz w:val="28"/>
          <w:szCs w:val="28"/>
          <w:highlight w:val="white"/>
        </w:rPr>
        <w:t>дного оленя, косули сибирской, дикого северного оленя, кабарги, соболя, медведя бурого, рыси и барсука в 2023-2024 гг. является важным этапом для подготовки обоснования объемов (квот, лимитов) изъятия охотничьих животных.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Обзор климатических условий Иркутс</w:t>
      </w:r>
      <w:r>
        <w:rPr>
          <w:sz w:val="28"/>
          <w:szCs w:val="28"/>
          <w:highlight w:val="white"/>
          <w:lang w:eastAsia="ru-RU"/>
        </w:rPr>
        <w:t xml:space="preserve">кой области в 2023 году подготовлен на основании информации, подготовленной ФГБУ «Иркутское управление по гидрометеорологии и мониторингу окружающей среды» и размещенной на официальном сайте </w:t>
      </w:r>
      <w:r>
        <w:rPr>
          <w:sz w:val="28"/>
          <w:szCs w:val="28"/>
          <w:highlight w:val="white"/>
          <w:lang w:val="en-US" w:eastAsia="ru-RU"/>
        </w:rPr>
        <w:t>https</w:t>
      </w:r>
      <w:r>
        <w:rPr>
          <w:sz w:val="28"/>
          <w:szCs w:val="28"/>
          <w:highlight w:val="white"/>
          <w:lang w:eastAsia="ru-RU"/>
        </w:rPr>
        <w:t>://</w:t>
      </w:r>
      <w:r>
        <w:rPr>
          <w:sz w:val="28"/>
          <w:szCs w:val="28"/>
          <w:highlight w:val="white"/>
          <w:lang w:val="en-US" w:eastAsia="ru-RU"/>
        </w:rPr>
        <w:t>www</w:t>
      </w:r>
      <w:r>
        <w:rPr>
          <w:sz w:val="28"/>
          <w:szCs w:val="28"/>
          <w:highlight w:val="white"/>
          <w:lang w:eastAsia="ru-RU"/>
        </w:rPr>
        <w:t>.</w:t>
      </w:r>
      <w:proofErr w:type="spellStart"/>
      <w:r>
        <w:rPr>
          <w:sz w:val="28"/>
          <w:szCs w:val="28"/>
          <w:highlight w:val="white"/>
          <w:lang w:val="en-US" w:eastAsia="ru-RU"/>
        </w:rPr>
        <w:t>irmeteo</w:t>
      </w:r>
      <w:proofErr w:type="spellEnd"/>
      <w:r>
        <w:rPr>
          <w:sz w:val="28"/>
          <w:szCs w:val="28"/>
          <w:highlight w:val="white"/>
          <w:lang w:eastAsia="ru-RU"/>
        </w:rPr>
        <w:t>.</w:t>
      </w:r>
      <w:proofErr w:type="spellStart"/>
      <w:r>
        <w:rPr>
          <w:sz w:val="28"/>
          <w:szCs w:val="28"/>
          <w:highlight w:val="white"/>
          <w:lang w:val="en-US" w:eastAsia="ru-RU"/>
        </w:rPr>
        <w:t>ru</w:t>
      </w:r>
      <w:proofErr w:type="spellEnd"/>
      <w:r>
        <w:rPr>
          <w:sz w:val="28"/>
          <w:szCs w:val="28"/>
          <w:highlight w:val="white"/>
          <w:lang w:eastAsia="ru-RU"/>
        </w:rPr>
        <w:t>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Общей характеристикой погоды за этот пери</w:t>
      </w:r>
      <w:r>
        <w:rPr>
          <w:sz w:val="28"/>
          <w:szCs w:val="28"/>
          <w:highlight w:val="white"/>
        </w:rPr>
        <w:t>од была неустойчивость атмосферных процессов. Единственный месяц, температурный режим которого по общим осреднённым данным соответствовал климату, был январь, но это совсем не значит, что он был типичным. В январе 2023 года чередовались периоды с сильнейши</w:t>
      </w:r>
      <w:r>
        <w:rPr>
          <w:sz w:val="28"/>
          <w:szCs w:val="28"/>
          <w:highlight w:val="white"/>
        </w:rPr>
        <w:t>ми морозами и периоды с интенсивными потеплениями вплоть до оттепелей. Периоды похолоданий в феврале и марте были уже не такими интенсивными, как в январе, преобладали волны тепла, накрывающие регион, поэтому температурные показатели, в целом, оказались вы</w:t>
      </w:r>
      <w:r>
        <w:rPr>
          <w:sz w:val="28"/>
          <w:szCs w:val="28"/>
          <w:highlight w:val="white"/>
        </w:rPr>
        <w:t>ше нормы (на 1−2º в феврале, на 3−4º в марте). Необыкновенно тёплыми оказались последние дни марта, дневные температуры воздуха достигали +16, +20º, местами до +22º. Однако затем ситуация изменилась. Начался длительный холодный период: апрель и май в Приан</w:t>
      </w:r>
      <w:r>
        <w:rPr>
          <w:sz w:val="28"/>
          <w:szCs w:val="28"/>
          <w:highlight w:val="white"/>
        </w:rPr>
        <w:t xml:space="preserve">гарье были холодными, снежными и ветреными. С первых дней апреля стало понятно, что зима ещё задержится. Из-за холодной погоды, и окончание зимнего периода, и начало весеннего, критериями для которых является устойчивый </w:t>
      </w:r>
      <w:r>
        <w:rPr>
          <w:sz w:val="28"/>
          <w:szCs w:val="28"/>
          <w:highlight w:val="white"/>
        </w:rPr>
        <w:lastRenderedPageBreak/>
        <w:t>переход среднесуточной температуры в</w:t>
      </w:r>
      <w:r>
        <w:rPr>
          <w:sz w:val="28"/>
          <w:szCs w:val="28"/>
          <w:highlight w:val="white"/>
        </w:rPr>
        <w:t>оздуха через 0º, произошло на редкость поздно -22-25 апреля (на 10−16 дней позже климатических сроков).За последние 40 лет метеорологических наблюдений такое случалось всего 4 раза (в 2006, 2002, 1984 и 1983 годах).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Поздняя, затяжная холодная весна 2023 го</w:t>
      </w:r>
      <w:r>
        <w:rPr>
          <w:sz w:val="28"/>
          <w:szCs w:val="28"/>
          <w:highlight w:val="white"/>
        </w:rPr>
        <w:t>да – самая яркая особенность прошедшего года. Эта погода совсем не напоминала весеннюю – с разной периодичностью снегопады продолжались и в третьей декаде мая. С переходом среднесуточной температуры воздуха через 100, 25−27 мая (также с опозданием) началос</w:t>
      </w:r>
      <w:r>
        <w:rPr>
          <w:sz w:val="28"/>
          <w:szCs w:val="28"/>
          <w:highlight w:val="white"/>
        </w:rPr>
        <w:t>ь лето. Температурный фон прошедшего периода лета является умеренно тёплым, но по-прежнему неустойчивым. Погодной особенностью в это время были поздние заморозки, которые отмечались в середине месяца. С жаркой погодой, когда термометры фиксировали 30º и вы</w:t>
      </w:r>
      <w:r>
        <w:rPr>
          <w:sz w:val="28"/>
          <w:szCs w:val="28"/>
          <w:highlight w:val="white"/>
        </w:rPr>
        <w:t>ше в июне наблюдалось вполне обычное количество дней – от 4 до 6.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Р</w:t>
      </w:r>
      <w:r>
        <w:rPr>
          <w:sz w:val="28"/>
          <w:szCs w:val="28"/>
          <w:highlight w:val="white"/>
        </w:rPr>
        <w:t>ежим осадков полугодия также определяла погодная неустойчивость, которую, как правило, обеспечивали циклонические образования. В целом, за весь период осадков выпало больше нормы. Случались при этом удивительные аномалии, когда в первой пятидневке января п</w:t>
      </w:r>
      <w:r>
        <w:rPr>
          <w:sz w:val="28"/>
          <w:szCs w:val="28"/>
          <w:highlight w:val="white"/>
        </w:rPr>
        <w:t>ри интенсивных оттепелях в Нижнеудинском районе шёл дождь, а поздней весной, наоборот, (причём во многих районах области) выпадал снег. В итоге мы получили в этом году в регионе растянутый период снеготаяния и поздний сход снежного покрова с полей в ряде р</w:t>
      </w:r>
      <w:r>
        <w:rPr>
          <w:sz w:val="28"/>
          <w:szCs w:val="28"/>
          <w:highlight w:val="white"/>
        </w:rPr>
        <w:t>айонов области.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За это полугодие количество опасных метеорологических явлений, произошедших на территории области, </w:t>
      </w:r>
      <w:proofErr w:type="gramStart"/>
      <w:r>
        <w:rPr>
          <w:sz w:val="28"/>
          <w:szCs w:val="28"/>
          <w:highlight w:val="white"/>
        </w:rPr>
        <w:t>больше</w:t>
      </w:r>
      <w:proofErr w:type="gramEnd"/>
      <w:r>
        <w:rPr>
          <w:sz w:val="28"/>
          <w:szCs w:val="28"/>
          <w:highlight w:val="white"/>
        </w:rPr>
        <w:t xml:space="preserve"> чем в прошлом году. Всё же, есть в этой неустойчивости и свои плюсы: высокая и чрезвычайная пожароопасность лесов наблюдалась лишь в о</w:t>
      </w:r>
      <w:r>
        <w:rPr>
          <w:sz w:val="28"/>
          <w:szCs w:val="28"/>
          <w:highlight w:val="white"/>
        </w:rPr>
        <w:t>тдельные периоды и в целом оказалась спокойнее, чем за аналогичный период прошлого года.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По-прежнему отмечается высокий пресс техногенных факторов, воздействующих на среду обитания диких животных, в том числе охотничье-промысловых на территории области. Пр</w:t>
      </w:r>
      <w:r>
        <w:rPr>
          <w:sz w:val="28"/>
          <w:szCs w:val="28"/>
          <w:highlight w:val="white"/>
        </w:rPr>
        <w:t>актически в каждом административном районе региона ведутся масштабные лесозаготовки. Объемы рубок лесных насаждений ежегодно на территории Иркутской области возрастают, в 2023 году заготовлено около 27 млн. м</w:t>
      </w:r>
      <w:r>
        <w:rPr>
          <w:rFonts w:eastAsia="Cambria Math"/>
          <w:sz w:val="28"/>
          <w:szCs w:val="28"/>
          <w:highlight w:val="white"/>
        </w:rPr>
        <w:t>³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древесины.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</w:t>
      </w:r>
      <w:proofErr w:type="spellStart"/>
      <w:r>
        <w:rPr>
          <w:sz w:val="28"/>
          <w:szCs w:val="28"/>
          <w:highlight w:val="white"/>
        </w:rPr>
        <w:t>Бодайбинском</w:t>
      </w:r>
      <w:proofErr w:type="spellEnd"/>
      <w:r>
        <w:rPr>
          <w:sz w:val="28"/>
          <w:szCs w:val="28"/>
          <w:highlight w:val="white"/>
        </w:rPr>
        <w:t xml:space="preserve">, Киренском, </w:t>
      </w:r>
      <w:proofErr w:type="spellStart"/>
      <w:r>
        <w:rPr>
          <w:sz w:val="28"/>
          <w:szCs w:val="28"/>
          <w:highlight w:val="white"/>
        </w:rPr>
        <w:t>Усть-Кут</w:t>
      </w:r>
      <w:r>
        <w:rPr>
          <w:sz w:val="28"/>
          <w:szCs w:val="28"/>
          <w:highlight w:val="white"/>
        </w:rPr>
        <w:t>ском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Жигаловском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Казачинско</w:t>
      </w:r>
      <w:proofErr w:type="spellEnd"/>
      <w:r>
        <w:rPr>
          <w:sz w:val="28"/>
          <w:szCs w:val="28"/>
          <w:highlight w:val="white"/>
        </w:rPr>
        <w:t xml:space="preserve">-Ленском, </w:t>
      </w:r>
      <w:proofErr w:type="spellStart"/>
      <w:r>
        <w:rPr>
          <w:sz w:val="28"/>
          <w:szCs w:val="28"/>
          <w:highlight w:val="white"/>
        </w:rPr>
        <w:t>Катангском</w:t>
      </w:r>
      <w:proofErr w:type="spellEnd"/>
      <w:r>
        <w:rPr>
          <w:sz w:val="28"/>
          <w:szCs w:val="28"/>
          <w:highlight w:val="white"/>
        </w:rPr>
        <w:t xml:space="preserve"> и ряде других районов нашего региона ведутся интенсивные работы по разведке и разработке месторождений полезных ископаемых, в том числе нефти и газа. Территория этих районов покрыта сетью дорог и геофизичес</w:t>
      </w:r>
      <w:r>
        <w:rPr>
          <w:sz w:val="28"/>
          <w:szCs w:val="28"/>
          <w:highlight w:val="white"/>
        </w:rPr>
        <w:t>ких профилей, что обеспечивает доступ человека в некогда труднодоступные территории, что в большинстве случаев приводит к возникновению лесных пожаров, а также способствует проникновению в отдаленные таежные угодья волка.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Одновременно происходит зарастание старых вырубок лесных насаждений и гарей молодняком мелколиственных пород (улучшаются кормовые условия для лося, благородного оленя). Практическое отсутствие обработки сельскохозяйственных угодий ядохимикатами и минеральн</w:t>
      </w:r>
      <w:r>
        <w:rPr>
          <w:sz w:val="28"/>
          <w:szCs w:val="28"/>
          <w:highlight w:val="white"/>
        </w:rPr>
        <w:t xml:space="preserve">ыми </w:t>
      </w:r>
      <w:r>
        <w:rPr>
          <w:sz w:val="28"/>
          <w:szCs w:val="28"/>
          <w:highlight w:val="white"/>
        </w:rPr>
        <w:lastRenderedPageBreak/>
        <w:t>удобрениями, способствует увеличению численности тетерева и бородатой куропатки, так как эти территории являются их естественной средой обитания.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На территории охотничьих угодий Иркутской области выполняются биотехнические мероприятия, в том числе регу</w:t>
      </w:r>
      <w:r>
        <w:rPr>
          <w:sz w:val="28"/>
          <w:szCs w:val="28"/>
          <w:highlight w:val="white"/>
        </w:rPr>
        <w:t>лирование численности волка. Данные мероприятия являются эффективными, в результате чего численность охотничьих ресурсов стабильно увеличивается.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Таким образом, предварительный анализ условий обитания охотничьих животных в период 2023-2024 гг. показал, что</w:t>
      </w:r>
      <w:r>
        <w:rPr>
          <w:sz w:val="28"/>
          <w:szCs w:val="28"/>
          <w:highlight w:val="white"/>
        </w:rPr>
        <w:t xml:space="preserve"> для популяции диких животных кормовые и защитные условия их среды обитания оцениваются «средними» показателями, а для пушных животных «удовлетворительными».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Схема размещения, использования и охраны охотничьих угодий на территории Иркутской области утвержд</w:t>
      </w:r>
      <w:r>
        <w:rPr>
          <w:sz w:val="28"/>
          <w:szCs w:val="28"/>
          <w:highlight w:val="white"/>
        </w:rPr>
        <w:t xml:space="preserve">ена указом Губернатора Иркутской области от 04.02.2019 № 22-уг (далее – Схема </w:t>
      </w:r>
      <w:proofErr w:type="spellStart"/>
      <w:r>
        <w:rPr>
          <w:sz w:val="28"/>
          <w:szCs w:val="28"/>
          <w:highlight w:val="white"/>
        </w:rPr>
        <w:t>охотустройства</w:t>
      </w:r>
      <w:proofErr w:type="spellEnd"/>
      <w:r>
        <w:rPr>
          <w:sz w:val="28"/>
          <w:szCs w:val="28"/>
          <w:highlight w:val="white"/>
        </w:rPr>
        <w:t xml:space="preserve"> Иркутской области) сроком на 10 лет.</w:t>
      </w:r>
      <w:bookmarkStart w:id="1" w:name="undefined"/>
      <w:bookmarkEnd w:id="1"/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электронном виде Схема </w:t>
      </w:r>
      <w:proofErr w:type="spellStart"/>
      <w:r>
        <w:rPr>
          <w:sz w:val="28"/>
          <w:szCs w:val="28"/>
          <w:highlight w:val="white"/>
        </w:rPr>
        <w:t>охотустройства</w:t>
      </w:r>
      <w:proofErr w:type="spellEnd"/>
      <w:r>
        <w:rPr>
          <w:sz w:val="28"/>
          <w:szCs w:val="28"/>
          <w:highlight w:val="white"/>
        </w:rPr>
        <w:t xml:space="preserve"> Иркутской области размещена на официальном сайте службы (https://irkobl.ru/sites/ozm/)</w:t>
      </w:r>
      <w:r>
        <w:rPr>
          <w:sz w:val="28"/>
          <w:szCs w:val="28"/>
          <w:highlight w:val="white"/>
        </w:rPr>
        <w:t xml:space="preserve"> и сетевом издании «Официальный интернет-портал правовой информации Иркутской области» (http://www.ogirk.ru/pravo/archives/law/295830). Схема </w:t>
      </w:r>
      <w:proofErr w:type="spellStart"/>
      <w:r>
        <w:rPr>
          <w:sz w:val="28"/>
          <w:szCs w:val="28"/>
          <w:highlight w:val="white"/>
        </w:rPr>
        <w:t>охотустройства</w:t>
      </w:r>
      <w:proofErr w:type="spellEnd"/>
      <w:r>
        <w:rPr>
          <w:sz w:val="28"/>
          <w:szCs w:val="28"/>
          <w:highlight w:val="white"/>
        </w:rPr>
        <w:t xml:space="preserve"> Иркутской области содержит информацию для обеспечения рационального использования и сохранения охот</w:t>
      </w:r>
      <w:r>
        <w:rPr>
          <w:sz w:val="28"/>
          <w:szCs w:val="28"/>
          <w:highlight w:val="white"/>
        </w:rPr>
        <w:t>ничьих ресурсов, осуществления видов деятельности в сфере охотничьего хозяйства, в том числе карты-схемы категории и классы элементов среды обитания охотничьих ресурсов Иркутской области.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2. Состояние численности охотничьих ресурсов в </w:t>
      </w:r>
      <w:proofErr w:type="spellStart"/>
      <w:r>
        <w:rPr>
          <w:b/>
          <w:sz w:val="28"/>
          <w:szCs w:val="28"/>
          <w:highlight w:val="white"/>
        </w:rPr>
        <w:t>послепромысловый</w:t>
      </w:r>
      <w:proofErr w:type="spellEnd"/>
      <w:r>
        <w:rPr>
          <w:b/>
          <w:sz w:val="28"/>
          <w:szCs w:val="28"/>
          <w:highlight w:val="white"/>
        </w:rPr>
        <w:t xml:space="preserve"> пер</w:t>
      </w:r>
      <w:r>
        <w:rPr>
          <w:b/>
          <w:sz w:val="28"/>
          <w:szCs w:val="28"/>
          <w:highlight w:val="white"/>
        </w:rPr>
        <w:t>иод 2024 года на территории Иркутской области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>2.1 Копытные животные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Лось.</w:t>
      </w:r>
      <w:r>
        <w:rPr>
          <w:sz w:val="28"/>
          <w:szCs w:val="28"/>
          <w:highlight w:val="white"/>
        </w:rPr>
        <w:t xml:space="preserve"> В динамике численности лося за период 2005-2023 гг. (таблица 1) отмечены годы (2005-2006), в течение которых происходило снижение численности до 35 тыс. особей. В феврале 2008 и 20</w:t>
      </w:r>
      <w:r>
        <w:rPr>
          <w:sz w:val="28"/>
          <w:szCs w:val="28"/>
          <w:highlight w:val="white"/>
        </w:rPr>
        <w:t>11 годов также снизились учетные показатели до 38,1 и 37,7 тыс. особей, соответственно.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2013 году результаты ЗМУ показали увеличение численности лося до 52,9 тыс. особей, в 2016 году численность составила 55, в 2017 году – 60,2, в 2020 году – 66,7, в 202</w:t>
      </w:r>
      <w:r>
        <w:rPr>
          <w:sz w:val="28"/>
          <w:szCs w:val="28"/>
          <w:highlight w:val="white"/>
        </w:rPr>
        <w:t>1 году – 75,2, в 2022 году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– 72,2, в 2023 году – 76,9 тыс. особей. В 2024 году расчетная численность лося на территории Иркутской области (без учета ООПТ) составила 74,2 тыс.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Состояние популяции лося благополучно во всех районах обитания данного ви</w:t>
      </w:r>
      <w:r>
        <w:rPr>
          <w:sz w:val="28"/>
          <w:szCs w:val="28"/>
          <w:highlight w:val="white"/>
        </w:rPr>
        <w:t>да.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Благородный олень (изюбрь).</w:t>
      </w:r>
      <w:r>
        <w:rPr>
          <w:sz w:val="28"/>
          <w:szCs w:val="28"/>
          <w:highlight w:val="white"/>
        </w:rPr>
        <w:t xml:space="preserve"> Анализ динамики численности благородного оленя показал, что его численность оценивалась в 2012 в 45,2 тыс. особей, в 2013 году составила 36,9 тыс. особей, в 2014 году – 44,3, в 2015 году – 48,4, в 2016 году – 56,6,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в 2017 го</w:t>
      </w:r>
      <w:r>
        <w:rPr>
          <w:sz w:val="28"/>
          <w:szCs w:val="28"/>
          <w:highlight w:val="white"/>
        </w:rPr>
        <w:t xml:space="preserve">ду – 61,9, в 2020 году – 71,4, в </w:t>
      </w:r>
      <w:r>
        <w:rPr>
          <w:sz w:val="28"/>
          <w:szCs w:val="28"/>
          <w:highlight w:val="white"/>
        </w:rPr>
        <w:lastRenderedPageBreak/>
        <w:t>2021 году 78,9 тыс. особей, в 2022 году 75,5, 2023 году – 77,3 тыс. особей. В 2024 году расчетная численность изюбря на территории Иркутской области (без учета ООПТ) составила 75,6 тыс.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целом по районам Иркутской </w:t>
      </w:r>
      <w:r>
        <w:rPr>
          <w:sz w:val="28"/>
          <w:szCs w:val="28"/>
          <w:highlight w:val="white"/>
        </w:rPr>
        <w:t>области состояние популяции благородного оленя стабильное.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Косуля сибирская.</w:t>
      </w:r>
      <w:r>
        <w:rPr>
          <w:sz w:val="28"/>
          <w:szCs w:val="28"/>
          <w:highlight w:val="white"/>
        </w:rPr>
        <w:t xml:space="preserve"> Численность косули сибирской в 2011 году, в сравнении с предыдущим 2010 годом снизилась на 5,0 тыс. особей и составила 43,4 тыс. особей, при плотности населения 1,1 особи на 1000 </w:t>
      </w:r>
      <w:r>
        <w:rPr>
          <w:sz w:val="28"/>
          <w:szCs w:val="28"/>
          <w:highlight w:val="white"/>
        </w:rPr>
        <w:t>га. В тоже время она значительно превышает показатели 2007 года (40,9 тыс. особей). В 2012 году численность оценивалась в 46,3 тыс. особей, в 2013 году в 55,3 тыс. особей, в 2014 году 66,5 тыс. особей, в 2015 году 65,7 тыс. особей, в 2016 году 66,5 тыс. ос</w:t>
      </w:r>
      <w:r>
        <w:rPr>
          <w:sz w:val="28"/>
          <w:szCs w:val="28"/>
          <w:highlight w:val="white"/>
        </w:rPr>
        <w:t>обей, в 2017 году 74,5 тыс. особей, в 2020 году 96,1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 2021 году 101,3 тыс. особей, а в 2022 году 102,3 тыс. особей. В 2023 году численность косули на территории Иркутской области составила 104,2 тыс. особей. В 2024 году расчетная численность </w:t>
      </w:r>
      <w:r>
        <w:rPr>
          <w:sz w:val="28"/>
          <w:szCs w:val="28"/>
          <w:highlight w:val="white"/>
        </w:rPr>
        <w:t>косули на территории Иркутской области (без учета ООПТ) составила 100,1 тыс.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Анализ динамики численности косули позволил отметить увеличение показателей численности вида, которое связано с усилением охраны и проводимыми в охотничьих угодьях биотехн</w:t>
      </w:r>
      <w:r>
        <w:rPr>
          <w:sz w:val="28"/>
          <w:szCs w:val="28"/>
          <w:highlight w:val="white"/>
        </w:rPr>
        <w:t>ическими мероприятиями.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Дикий северный олень</w:t>
      </w:r>
      <w:r>
        <w:rPr>
          <w:sz w:val="28"/>
          <w:szCs w:val="28"/>
          <w:highlight w:val="white"/>
        </w:rPr>
        <w:t>. Численность вида в 2011 году характеризовалась более низкими показателями (20,6 тыс. особей), чем в 2010 году (23,5 тыс. особей). Основная часть поголовья вида сосредоточена в Северной группе районов (</w:t>
      </w:r>
      <w:proofErr w:type="spellStart"/>
      <w:r>
        <w:rPr>
          <w:sz w:val="28"/>
          <w:szCs w:val="28"/>
          <w:highlight w:val="white"/>
        </w:rPr>
        <w:t>Катангски</w:t>
      </w:r>
      <w:r>
        <w:rPr>
          <w:sz w:val="28"/>
          <w:szCs w:val="28"/>
          <w:highlight w:val="white"/>
        </w:rPr>
        <w:t>й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Бодайбинский</w:t>
      </w:r>
      <w:proofErr w:type="spellEnd"/>
      <w:r>
        <w:rPr>
          <w:sz w:val="28"/>
          <w:szCs w:val="28"/>
          <w:highlight w:val="white"/>
        </w:rPr>
        <w:t>, Мамско-Чуйский, Киренский).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2013 году общая численность дикого северного оленя оценена в 27,1 тыс. особей</w:t>
      </w:r>
      <w:r>
        <w:rPr>
          <w:highlight w:val="white"/>
        </w:rPr>
        <w:t>,</w:t>
      </w:r>
      <w:r>
        <w:rPr>
          <w:sz w:val="28"/>
          <w:szCs w:val="28"/>
          <w:highlight w:val="white"/>
        </w:rPr>
        <w:t xml:space="preserve"> в 2014 году 25,2 тыс. особей, в 2015 году 23,1 тыс. особей, в 2016 году 22,7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в 2017 году 29,5 тыс. особей, в 2020 год</w:t>
      </w:r>
      <w:r>
        <w:rPr>
          <w:sz w:val="28"/>
          <w:szCs w:val="28"/>
          <w:highlight w:val="white"/>
        </w:rPr>
        <w:t>у 26,5 тыс. особей, в 2021 году 28,8 тыс. особей, а в 2022 году 31,2 тыс. особей. В 2023 году численность дикого северного оленя на территории Иркутской области составила 30,9 тыс. особей. В 2024 году расчетная численность северного оленя на территории Ирк</w:t>
      </w:r>
      <w:r>
        <w:rPr>
          <w:sz w:val="28"/>
          <w:szCs w:val="28"/>
          <w:highlight w:val="white"/>
        </w:rPr>
        <w:t>утской области (без учета ООПТ) составила 25,9 тыс.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Кабарга.</w:t>
      </w:r>
      <w:r>
        <w:rPr>
          <w:sz w:val="28"/>
          <w:szCs w:val="28"/>
          <w:highlight w:val="white"/>
        </w:rPr>
        <w:t xml:space="preserve"> Численность кабарги на территории охотничьих угодий Иркутской области определяется согласно информации, направляемой 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 xml:space="preserve"> по результатам проведения в закрепленных охотничьих</w:t>
      </w:r>
      <w:r>
        <w:rPr>
          <w:sz w:val="28"/>
          <w:szCs w:val="28"/>
          <w:highlight w:val="white"/>
        </w:rPr>
        <w:t xml:space="preserve"> угодьях ими учета численности охотничьих ресурсов, в общедоступных охотничьих угодьях - уполномоченными должностными лицами службы.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2009 году </w:t>
      </w:r>
      <w:proofErr w:type="spellStart"/>
      <w:r>
        <w:rPr>
          <w:sz w:val="28"/>
          <w:szCs w:val="28"/>
          <w:highlight w:val="white"/>
        </w:rPr>
        <w:t>послепромысловая</w:t>
      </w:r>
      <w:proofErr w:type="spellEnd"/>
      <w:r>
        <w:rPr>
          <w:sz w:val="28"/>
          <w:szCs w:val="28"/>
          <w:highlight w:val="white"/>
        </w:rPr>
        <w:t xml:space="preserve"> численность вида составила – 26,2 тыс. особей, плотность населения 0,46 особей на 1000 га. В 2</w:t>
      </w:r>
      <w:r>
        <w:rPr>
          <w:sz w:val="28"/>
          <w:szCs w:val="28"/>
          <w:highlight w:val="white"/>
        </w:rPr>
        <w:t xml:space="preserve">010 году она оценена в 38,1 тыс. особей, при этом средняя плотность населения возросла до 0,57 особей на 1000 га. Анализ данных динамики численности показал, что самые низкие показатели численности кабарги отмечены в период с 2005 года по 2006 год, в годы </w:t>
      </w:r>
      <w:r>
        <w:rPr>
          <w:sz w:val="28"/>
          <w:szCs w:val="28"/>
          <w:highlight w:val="white"/>
        </w:rPr>
        <w:t xml:space="preserve">восстановления таежных угодий после пожаров. В сравнении с данными последних 5 лет в 2009 году отмечено увеличение </w:t>
      </w:r>
      <w:r>
        <w:rPr>
          <w:sz w:val="28"/>
          <w:szCs w:val="28"/>
          <w:highlight w:val="white"/>
        </w:rPr>
        <w:lastRenderedPageBreak/>
        <w:t>поголовья на 2-2,4 тыс. особей (табл. 1), в 2011 году поголовье составило 34,8 тыс. особей, в 2012 году и численность составляла 40,5 тыс. ос</w:t>
      </w:r>
      <w:r>
        <w:rPr>
          <w:sz w:val="28"/>
          <w:szCs w:val="28"/>
          <w:highlight w:val="white"/>
        </w:rPr>
        <w:t>обей, в 2013 году численность кабарги оценена в 45,1 тыс. особей, в 2014 году 64,2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в 2015 году 63 тыс. особей, в 2016 году 87,2 тыс. особей, в 2017 году 113,4 тыс. особей, в 2018 году 105,1 тыс. особей, в 2020 году 117,1 тыс. особей,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>в 2021 го</w:t>
      </w:r>
      <w:r>
        <w:rPr>
          <w:sz w:val="28"/>
          <w:szCs w:val="28"/>
          <w:highlight w:val="white"/>
        </w:rPr>
        <w:t>ду 135,3 тыс. особей, а в 2022 году 143,7 тыс. особей. В 2023 году численность кабарги на территории Иркутской области составила 133,5 тыс. особей. В 2024 году расчетная численность кабарги на территории Иркутской области (без учета ООПТ) составила 128 тыс</w:t>
      </w:r>
      <w:r>
        <w:rPr>
          <w:sz w:val="28"/>
          <w:szCs w:val="28"/>
          <w:highlight w:val="white"/>
        </w:rPr>
        <w:t>.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Снижение численности кабарги в основном зафиксировано по результатам проведения на основании статьи 36 Федерального закона «Об охоте» совместных учетов охотничьих ресурсов в закрепленных охотничьих угодьях.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>2.2. Пушные животные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Соболь.</w:t>
      </w:r>
      <w:r>
        <w:rPr>
          <w:sz w:val="28"/>
          <w:szCs w:val="28"/>
          <w:highlight w:val="white"/>
        </w:rPr>
        <w:t xml:space="preserve"> В последние годы прошлого столетия (1995-2000 гг.) на территории Иркутской области отмечался устойчивый рост численности соболя. В 2023 году численность соболя на территории Иркутской области составила 266,7 тыс. особей. В 2024 году расчетная численность </w:t>
      </w:r>
      <w:r>
        <w:rPr>
          <w:sz w:val="28"/>
          <w:szCs w:val="28"/>
          <w:highlight w:val="white"/>
        </w:rPr>
        <w:t>соболя на территории Иркутской области (без учета ООПТ) составила 271,9 тыс.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2024 году расчетная численность других видов пушных животных на территории Иркутской области (без учета ООПТ) оценивается: рысь – 2,8 тыс. особей, барсук – 10,6 тыс. осо</w:t>
      </w:r>
      <w:r>
        <w:rPr>
          <w:sz w:val="28"/>
          <w:szCs w:val="28"/>
          <w:highlight w:val="white"/>
        </w:rPr>
        <w:t>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Состояние численности вышеуказанных видов охотничьих ресурсов находится на уровне среднемноголетних показателей (таблица 2).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b/>
          <w:sz w:val="28"/>
          <w:szCs w:val="28"/>
          <w:highlight w:val="white"/>
        </w:rPr>
        <w:t>2.3. Медведь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Медведь бурый.</w:t>
      </w:r>
      <w:r>
        <w:rPr>
          <w:sz w:val="28"/>
          <w:szCs w:val="28"/>
          <w:highlight w:val="white"/>
        </w:rPr>
        <w:t xml:space="preserve"> Анализ многолетних данных численности медведя бурого показал, что в охотничьих угодьях Иркутской</w:t>
      </w:r>
      <w:r>
        <w:rPr>
          <w:sz w:val="28"/>
          <w:szCs w:val="28"/>
          <w:highlight w:val="white"/>
        </w:rPr>
        <w:t xml:space="preserve"> области численность этого вида находится на высоком уровне. По опросным данным и специально проведенному учету численность этого хищника равнялась в 2015 году 13,1 тыс. особей, в 2016 году 16,6 тыс. особей, в 2017 году 16,5 тыс. особей, в 2018 году 18,0 т</w:t>
      </w:r>
      <w:r>
        <w:rPr>
          <w:sz w:val="28"/>
          <w:szCs w:val="28"/>
          <w:highlight w:val="white"/>
        </w:rPr>
        <w:t>ыс. особей, в 2020 году 20,5 тыс. особей, в 2021 году 21,4 тыс. особей, а в 2022 году 21,9 тыс. особей. В 2023 году численность медведя бурого на территории Иркутской области составила 22,1 тыс. особей. В 2024 году расчетная численность медведя по данным м</w:t>
      </w:r>
      <w:r>
        <w:rPr>
          <w:sz w:val="28"/>
          <w:szCs w:val="28"/>
          <w:highlight w:val="white"/>
        </w:rPr>
        <w:t>ониторинга на территории Иркутской области (без учета ООПТ) составила 21,4 тыс. особей.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Приведенные данные говорят о стабильном состоянии популяции, с постоянной тенденцией к увеличению численности. Даже недостаточный («плохой») урожай кормов для медведя н</w:t>
      </w:r>
      <w:r>
        <w:rPr>
          <w:sz w:val="28"/>
          <w:szCs w:val="28"/>
          <w:highlight w:val="white"/>
        </w:rPr>
        <w:t>е приводит к снижению его численности, что свидетельствует об его экологической пластичности.</w:t>
      </w:r>
    </w:p>
    <w:p w:rsidR="00AE5359" w:rsidRDefault="00AE53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5359" w:rsidRDefault="001C539E">
      <w:pPr>
        <w:shd w:val="clear" w:color="auto" w:fill="FFFFFF"/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  <w:highlight w:val="white"/>
        </w:rPr>
        <w:lastRenderedPageBreak/>
        <w:t>3. Результаты общественных обсуждений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соответствии с Требованиями к материалам оценки воздействия на окружающую среду, утвержденными приказом Минприроды России от 01.12.2020 № 999 (далее – Требования ОВОС):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материалы ОВОС должны быть научно обоснованы, достоверны и отражать результаты комп</w:t>
      </w:r>
      <w:r>
        <w:rPr>
          <w:sz w:val="28"/>
          <w:szCs w:val="28"/>
          <w:highlight w:val="white"/>
        </w:rPr>
        <w:t>лексных исследований прогнозируемых воздействий на окружающую среду и их последствий, выполненных с учетом взаимосвязи различных экологических, социальных и экономических факторов; при подготовке материалов ОВОС заказчик (исполнитель) обеспечивает использо</w:t>
      </w:r>
      <w:r>
        <w:rPr>
          <w:sz w:val="28"/>
          <w:szCs w:val="28"/>
          <w:highlight w:val="white"/>
        </w:rPr>
        <w:t xml:space="preserve">вание полной, достоверной и актуальной исходной информации, средств и методов измерения, расчетов, оценок, обязательное рассмотрение альтернативных вариантов реализации планируемой (намечаемой) хозяйственной и иной деятельности, в том числе вариант отказа </w:t>
      </w:r>
      <w:r>
        <w:rPr>
          <w:sz w:val="28"/>
          <w:szCs w:val="28"/>
          <w:highlight w:val="white"/>
        </w:rPr>
        <w:t>от деятельности, а также участие общественности при организации и проведении оценки воздействия на окружающую среду; при подготовке материалов ОВОС заказчик, т.е. служба (исполнитель), исходит из необходимости предотвращения и (или) уменьшения возможных не</w:t>
      </w:r>
      <w:r>
        <w:rPr>
          <w:sz w:val="28"/>
          <w:szCs w:val="28"/>
          <w:highlight w:val="white"/>
        </w:rPr>
        <w:t>гативных воздействий на окружающую среду и связанных с ними социальных, экономических и иных последствий в случае реализации планируемой (намечаемой) хозяйственной и иной деятельности (пунктом 3);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- материалы ОВОС должны, в том числе содержать: меры по пре</w:t>
      </w:r>
      <w:r>
        <w:rPr>
          <w:sz w:val="28"/>
          <w:szCs w:val="28"/>
          <w:highlight w:val="white"/>
        </w:rPr>
        <w:t>дотвращению и (или) уменьшению возможного негативного воздействия планируемой (намечаемой) хозяйственной и иной деятельности на окружающую среду; по охране объектов животного мира (подпункт 7.5).</w:t>
      </w:r>
    </w:p>
    <w:p w:rsidR="00AE5359" w:rsidRDefault="001C539E">
      <w:pPr>
        <w:shd w:val="clear" w:color="auto" w:fill="FFFFFF"/>
        <w:ind w:firstLine="709"/>
        <w:jc w:val="both"/>
      </w:pPr>
      <w:r>
        <w:rPr>
          <w:sz w:val="28"/>
          <w:szCs w:val="28"/>
          <w:highlight w:val="white"/>
        </w:rPr>
        <w:t xml:space="preserve">В соответствии с пунктами 4, 5 Требований ОВОС на основании </w:t>
      </w:r>
      <w:r>
        <w:rPr>
          <w:sz w:val="28"/>
          <w:szCs w:val="28"/>
          <w:highlight w:val="white"/>
        </w:rPr>
        <w:t>анализа и учета замечаний, предложений и информации, поступившей от общественности в ходе проведения общественных обсуждений, службой сформированы и утверждены окончательные материалы ОВОС.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Красной книге Российской Федерации и Красной книге Иркутс</w:t>
      </w:r>
      <w:r>
        <w:rPr>
          <w:sz w:val="28"/>
          <w:szCs w:val="28"/>
          <w:highlight w:val="white"/>
        </w:rPr>
        <w:t>кой области в регионе обитает сибирский лесной подвид северного оленя (</w:t>
      </w:r>
      <w:proofErr w:type="spellStart"/>
      <w:r>
        <w:rPr>
          <w:sz w:val="28"/>
          <w:szCs w:val="28"/>
          <w:highlight w:val="white"/>
        </w:rPr>
        <w:t>алтае</w:t>
      </w:r>
      <w:proofErr w:type="spellEnd"/>
      <w:r>
        <w:rPr>
          <w:sz w:val="28"/>
          <w:szCs w:val="28"/>
          <w:highlight w:val="white"/>
        </w:rPr>
        <w:t xml:space="preserve">-саянская и ангарская популяции, за исключением Республики Тыва). Так предположительно </w:t>
      </w:r>
      <w:proofErr w:type="spellStart"/>
      <w:r>
        <w:rPr>
          <w:sz w:val="28"/>
          <w:szCs w:val="28"/>
          <w:highlight w:val="white"/>
        </w:rPr>
        <w:t>алтае</w:t>
      </w:r>
      <w:proofErr w:type="spellEnd"/>
      <w:r>
        <w:rPr>
          <w:sz w:val="28"/>
          <w:szCs w:val="28"/>
          <w:highlight w:val="white"/>
        </w:rPr>
        <w:t xml:space="preserve">-саянская популяция северного оленя имеет изолированный ареал обитания – </w:t>
      </w:r>
      <w:proofErr w:type="spellStart"/>
      <w:r>
        <w:rPr>
          <w:sz w:val="28"/>
          <w:szCs w:val="28"/>
          <w:highlight w:val="white"/>
        </w:rPr>
        <w:t>Саянкий</w:t>
      </w:r>
      <w:proofErr w:type="spellEnd"/>
      <w:r>
        <w:rPr>
          <w:sz w:val="28"/>
          <w:szCs w:val="28"/>
          <w:highlight w:val="white"/>
        </w:rPr>
        <w:t xml:space="preserve"> хребет </w:t>
      </w:r>
      <w:r>
        <w:rPr>
          <w:sz w:val="28"/>
          <w:szCs w:val="28"/>
          <w:highlight w:val="white"/>
        </w:rPr>
        <w:t xml:space="preserve">на территории </w:t>
      </w:r>
      <w:proofErr w:type="spellStart"/>
      <w:r>
        <w:rPr>
          <w:sz w:val="28"/>
          <w:szCs w:val="28"/>
          <w:highlight w:val="white"/>
        </w:rPr>
        <w:t>Нижнеудинского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Заларинского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Тайшетского</w:t>
      </w:r>
      <w:proofErr w:type="spellEnd"/>
      <w:r>
        <w:rPr>
          <w:sz w:val="28"/>
          <w:szCs w:val="28"/>
          <w:highlight w:val="white"/>
        </w:rPr>
        <w:t xml:space="preserve">, Черемховского и </w:t>
      </w:r>
      <w:proofErr w:type="spellStart"/>
      <w:r>
        <w:rPr>
          <w:sz w:val="28"/>
          <w:szCs w:val="28"/>
          <w:highlight w:val="white"/>
        </w:rPr>
        <w:t>Слюдянского</w:t>
      </w:r>
      <w:proofErr w:type="spellEnd"/>
      <w:r>
        <w:rPr>
          <w:sz w:val="28"/>
          <w:szCs w:val="28"/>
          <w:highlight w:val="white"/>
        </w:rPr>
        <w:t xml:space="preserve"> районов Иркутской области.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информации Западно-Байкальской межрайонной природоохранной прокуратуры ангарская популяция северного оленя занимает часть районов Приан</w:t>
      </w:r>
      <w:r>
        <w:rPr>
          <w:sz w:val="28"/>
          <w:szCs w:val="28"/>
          <w:highlight w:val="white"/>
        </w:rPr>
        <w:t xml:space="preserve">гарья, в т.ч. в: </w:t>
      </w:r>
      <w:proofErr w:type="spellStart"/>
      <w:r>
        <w:rPr>
          <w:sz w:val="28"/>
          <w:szCs w:val="28"/>
          <w:highlight w:val="white"/>
        </w:rPr>
        <w:t>Тайшетском</w:t>
      </w:r>
      <w:proofErr w:type="spellEnd"/>
      <w:r>
        <w:rPr>
          <w:sz w:val="28"/>
          <w:szCs w:val="28"/>
          <w:highlight w:val="white"/>
        </w:rPr>
        <w:t xml:space="preserve">, Чунском, Усть-Илимском, Братском, Нижнеилимском и </w:t>
      </w:r>
      <w:proofErr w:type="spellStart"/>
      <w:r>
        <w:rPr>
          <w:sz w:val="28"/>
          <w:szCs w:val="28"/>
          <w:highlight w:val="white"/>
        </w:rPr>
        <w:t>Усть</w:t>
      </w:r>
      <w:proofErr w:type="spellEnd"/>
      <w:r>
        <w:rPr>
          <w:sz w:val="28"/>
          <w:szCs w:val="28"/>
          <w:highlight w:val="white"/>
        </w:rPr>
        <w:t>-Удинском районах Иркутской области.</w:t>
      </w:r>
    </w:p>
    <w:p w:rsidR="00AE5359" w:rsidRDefault="001C539E">
      <w:pPr>
        <w:shd w:val="clear" w:color="auto" w:fill="FFFFFF"/>
        <w:ind w:firstLine="709"/>
        <w:jc w:val="both"/>
      </w:pPr>
      <w:r>
        <w:rPr>
          <w:sz w:val="28"/>
          <w:szCs w:val="28"/>
          <w:highlight w:val="white"/>
        </w:rPr>
        <w:t>В соответствии со статьей 11.1 Федерального закона «Об охоте», пунктом 63 Правил охоты в</w:t>
      </w:r>
      <w:r>
        <w:rPr>
          <w:color w:val="000000"/>
          <w:sz w:val="28"/>
          <w:szCs w:val="28"/>
          <w:highlight w:val="white"/>
        </w:rPr>
        <w:t xml:space="preserve"> целях сохранения занесенных в Красную книгу Рос</w:t>
      </w:r>
      <w:r>
        <w:rPr>
          <w:color w:val="000000"/>
          <w:sz w:val="28"/>
          <w:szCs w:val="28"/>
          <w:highlight w:val="white"/>
        </w:rPr>
        <w:t xml:space="preserve">сийской Федерации или красные книги субъектов Российской Федерации редких и находящихся под угрозой исчезновения охотничьих ресурсов </w:t>
      </w:r>
      <w:r>
        <w:rPr>
          <w:color w:val="000000"/>
          <w:sz w:val="28"/>
          <w:szCs w:val="28"/>
          <w:highlight w:val="white"/>
        </w:rPr>
        <w:lastRenderedPageBreak/>
        <w:t>добыча таких охотничьих ресурсов запрещена, и их добыча осуществляется в исключительных случаях и в особом порядке.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highlight w:val="white"/>
        </w:rPr>
        <w:t>Охотпол</w:t>
      </w:r>
      <w:r>
        <w:rPr>
          <w:sz w:val="28"/>
          <w:szCs w:val="28"/>
          <w:highlight w:val="white"/>
        </w:rPr>
        <w:t>ьзователи</w:t>
      </w:r>
      <w:proofErr w:type="spellEnd"/>
      <w:r>
        <w:rPr>
          <w:sz w:val="28"/>
          <w:szCs w:val="28"/>
          <w:highlight w:val="white"/>
        </w:rPr>
        <w:t xml:space="preserve"> Чунского, </w:t>
      </w:r>
      <w:proofErr w:type="spellStart"/>
      <w:r>
        <w:rPr>
          <w:sz w:val="28"/>
          <w:szCs w:val="28"/>
          <w:highlight w:val="white"/>
        </w:rPr>
        <w:t>Нижнеудинского</w:t>
      </w:r>
      <w:proofErr w:type="spellEnd"/>
      <w:r>
        <w:rPr>
          <w:sz w:val="28"/>
          <w:szCs w:val="28"/>
          <w:highlight w:val="white"/>
        </w:rPr>
        <w:t xml:space="preserve"> районов не заявляли квоты добычи дикого северного оленя</w:t>
      </w:r>
      <w:r>
        <w:rPr>
          <w:highlight w:val="white"/>
        </w:rPr>
        <w:t>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На основании изложенного, с учетом сокращения расчетной численности ДСО, а также с целью недопущения добычи объектов животного мира (</w:t>
      </w:r>
      <w:r>
        <w:rPr>
          <w:sz w:val="28"/>
          <w:szCs w:val="28"/>
          <w:highlight w:val="white"/>
        </w:rPr>
        <w:t>популяции сибирского лесного по</w:t>
      </w:r>
      <w:r>
        <w:rPr>
          <w:sz w:val="28"/>
          <w:szCs w:val="28"/>
          <w:highlight w:val="white"/>
        </w:rPr>
        <w:t>двида северного оленя</w:t>
      </w:r>
      <w:r>
        <w:rPr>
          <w:color w:val="000000"/>
          <w:sz w:val="28"/>
          <w:szCs w:val="28"/>
          <w:highlight w:val="white"/>
        </w:rPr>
        <w:t xml:space="preserve">), занесенных в Красную книгу Российской Федерации и Красную книгу Иркутской области, </w:t>
      </w:r>
      <w:r>
        <w:rPr>
          <w:sz w:val="28"/>
          <w:szCs w:val="28"/>
          <w:highlight w:val="white"/>
        </w:rPr>
        <w:t>до установления информации о распространении сибирского лесного подвида (</w:t>
      </w:r>
      <w:proofErr w:type="spellStart"/>
      <w:r>
        <w:rPr>
          <w:sz w:val="28"/>
          <w:szCs w:val="28"/>
          <w:highlight w:val="white"/>
        </w:rPr>
        <w:t>алтае</w:t>
      </w:r>
      <w:proofErr w:type="spellEnd"/>
      <w:r>
        <w:rPr>
          <w:sz w:val="28"/>
          <w:szCs w:val="28"/>
          <w:highlight w:val="white"/>
        </w:rPr>
        <w:t>-саянская и ангарская популяции) предлагается не устанавливать квоты до</w:t>
      </w:r>
      <w:r>
        <w:rPr>
          <w:sz w:val="28"/>
          <w:szCs w:val="28"/>
          <w:highlight w:val="white"/>
        </w:rPr>
        <w:t xml:space="preserve">бычи дикого северного оленя в Нижнеилимском, </w:t>
      </w:r>
      <w:proofErr w:type="spellStart"/>
      <w:r>
        <w:rPr>
          <w:sz w:val="28"/>
          <w:szCs w:val="28"/>
          <w:highlight w:val="white"/>
        </w:rPr>
        <w:t>Усть</w:t>
      </w:r>
      <w:proofErr w:type="spellEnd"/>
      <w:r>
        <w:rPr>
          <w:sz w:val="28"/>
          <w:szCs w:val="28"/>
          <w:highlight w:val="white"/>
        </w:rPr>
        <w:t xml:space="preserve">-Удинском, </w:t>
      </w:r>
      <w:proofErr w:type="spellStart"/>
      <w:r>
        <w:rPr>
          <w:sz w:val="28"/>
          <w:szCs w:val="28"/>
          <w:highlight w:val="white"/>
        </w:rPr>
        <w:t>Жигаловском</w:t>
      </w:r>
      <w:proofErr w:type="spellEnd"/>
      <w:r>
        <w:rPr>
          <w:sz w:val="28"/>
          <w:szCs w:val="28"/>
          <w:highlight w:val="white"/>
        </w:rPr>
        <w:t xml:space="preserve"> районах.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 учетом права и Нормативов допустимого изъятия охотничьих ресурсов, утвержденных приказом Министерства природных ресурсов и экологии РФ от 27.01.2022 № 49, службой в 2 раза с</w:t>
      </w:r>
      <w:r>
        <w:rPr>
          <w:sz w:val="28"/>
          <w:szCs w:val="28"/>
          <w:highlight w:val="white"/>
        </w:rPr>
        <w:t>окращен процент добычи кабарги в отношении ряда общедоступных охотничьих угодий.</w:t>
      </w:r>
    </w:p>
    <w:p w:rsidR="00AE5359" w:rsidRDefault="001C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На протяжении 2023-2024 гг. не смотря на письменные уведомления ООО «Тайга», ООО «Таежное» игнорирует проведение совместного учета численности охотничьих ресурсов на территори</w:t>
      </w:r>
      <w:r>
        <w:rPr>
          <w:sz w:val="28"/>
          <w:szCs w:val="28"/>
          <w:highlight w:val="white"/>
        </w:rPr>
        <w:t xml:space="preserve">и закрепленных </w:t>
      </w:r>
      <w:proofErr w:type="spellStart"/>
      <w:r>
        <w:rPr>
          <w:sz w:val="28"/>
          <w:szCs w:val="28"/>
          <w:highlight w:val="white"/>
        </w:rPr>
        <w:t>охотугодий</w:t>
      </w:r>
      <w:proofErr w:type="spellEnd"/>
      <w:r>
        <w:rPr>
          <w:sz w:val="28"/>
          <w:szCs w:val="28"/>
          <w:highlight w:val="white"/>
        </w:rPr>
        <w:t xml:space="preserve"> (ответственный за учет не отвечает на звонки и смс-оповещения, единолично проводит ЗМУ, анализирует и принимает ведомости ЗМУ). В результате действия (без действия) указанных </w:t>
      </w:r>
      <w:proofErr w:type="spellStart"/>
      <w:r>
        <w:rPr>
          <w:sz w:val="28"/>
          <w:szCs w:val="28"/>
          <w:highlight w:val="white"/>
        </w:rPr>
        <w:t>охотпользователей</w:t>
      </w:r>
      <w:proofErr w:type="spellEnd"/>
      <w:r>
        <w:rPr>
          <w:sz w:val="28"/>
          <w:szCs w:val="28"/>
          <w:highlight w:val="white"/>
        </w:rPr>
        <w:t xml:space="preserve"> не позволяют в присутствии представит</w:t>
      </w:r>
      <w:r>
        <w:rPr>
          <w:sz w:val="28"/>
          <w:szCs w:val="28"/>
          <w:highlight w:val="white"/>
        </w:rPr>
        <w:t xml:space="preserve">еля службы убедится в достоверности представляемых данных о численности охотничьих ресурсов, учитываемых методом ЗМУ. В связи с тем, что указанные </w:t>
      </w:r>
      <w:proofErr w:type="spellStart"/>
      <w:r>
        <w:rPr>
          <w:sz w:val="28"/>
          <w:szCs w:val="28"/>
          <w:highlight w:val="white"/>
        </w:rPr>
        <w:t>охотпользователи</w:t>
      </w:r>
      <w:proofErr w:type="spellEnd"/>
      <w:r>
        <w:rPr>
          <w:sz w:val="28"/>
          <w:szCs w:val="28"/>
          <w:highlight w:val="white"/>
        </w:rPr>
        <w:t xml:space="preserve"> нарушили требования методики ЗМУ в части организации и проведения совместного учета служба п</w:t>
      </w:r>
      <w:r>
        <w:rPr>
          <w:sz w:val="28"/>
          <w:szCs w:val="28"/>
          <w:highlight w:val="white"/>
        </w:rPr>
        <w:t>редлагает на общественных обсуждениях рассмотреть вопрос и принять решение о сокращении заявленных квот ООО «Тайга», ООО «Таежное».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Схемой </w:t>
      </w:r>
      <w:proofErr w:type="spellStart"/>
      <w:r>
        <w:rPr>
          <w:sz w:val="28"/>
          <w:szCs w:val="28"/>
          <w:highlight w:val="white"/>
        </w:rPr>
        <w:t>охотустройства</w:t>
      </w:r>
      <w:proofErr w:type="spellEnd"/>
      <w:r>
        <w:rPr>
          <w:sz w:val="28"/>
          <w:szCs w:val="28"/>
          <w:highlight w:val="white"/>
        </w:rPr>
        <w:t xml:space="preserve"> Иркутской области установлены показатели </w:t>
      </w:r>
      <w:r>
        <w:rPr>
          <w:sz w:val="28"/>
          <w:highlight w:val="white"/>
        </w:rPr>
        <w:t xml:space="preserve">оптимальной плотности населения кабарги для </w:t>
      </w:r>
      <w:r>
        <w:rPr>
          <w:sz w:val="28"/>
          <w:szCs w:val="28"/>
          <w:highlight w:val="white"/>
        </w:rPr>
        <w:t xml:space="preserve">административных </w:t>
      </w:r>
      <w:r>
        <w:rPr>
          <w:sz w:val="28"/>
          <w:szCs w:val="28"/>
          <w:highlight w:val="white"/>
        </w:rPr>
        <w:t>районов (в зависимости от средневзвешенного бонитета максимальная оптимальная плотность составляет 4 особи/1000 га охотничьих угодий).</w:t>
      </w:r>
    </w:p>
    <w:p w:rsidR="00AE5359" w:rsidRDefault="001C539E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В связи с этим, служба предлагает на </w:t>
      </w:r>
      <w:r>
        <w:rPr>
          <w:sz w:val="28"/>
          <w:szCs w:val="28"/>
          <w:highlight w:val="white"/>
        </w:rPr>
        <w:t>общественных обсуждениях</w:t>
      </w:r>
      <w:r>
        <w:rPr>
          <w:sz w:val="28"/>
          <w:szCs w:val="28"/>
        </w:rPr>
        <w:t xml:space="preserve"> решить вопрос о сокращении заявленной квоты добычи кабарги </w:t>
      </w:r>
      <w:r>
        <w:rPr>
          <w:sz w:val="28"/>
          <w:szCs w:val="28"/>
        </w:rPr>
        <w:t xml:space="preserve">следующим </w:t>
      </w:r>
      <w:proofErr w:type="spellStart"/>
      <w:r>
        <w:rPr>
          <w:sz w:val="28"/>
          <w:szCs w:val="28"/>
        </w:rPr>
        <w:t>охотпользователям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highlight w:val="white"/>
        </w:rPr>
        <w:t>ООО «Тайга» (</w:t>
      </w:r>
      <w:proofErr w:type="spellStart"/>
      <w:r>
        <w:rPr>
          <w:sz w:val="28"/>
          <w:szCs w:val="28"/>
          <w:highlight w:val="white"/>
        </w:rPr>
        <w:t>Заларинский</w:t>
      </w:r>
      <w:proofErr w:type="spellEnd"/>
      <w:r>
        <w:rPr>
          <w:sz w:val="28"/>
          <w:szCs w:val="28"/>
          <w:highlight w:val="white"/>
        </w:rPr>
        <w:t xml:space="preserve"> район), ООО «Таежное»</w:t>
      </w:r>
      <w:r>
        <w:rPr>
          <w:sz w:val="28"/>
          <w:szCs w:val="28"/>
        </w:rPr>
        <w:t>, ООО «Зеленый дом», ООО «ЭПОХ «Монастырев», ООО «Большой луг», ООО «</w:t>
      </w:r>
      <w:proofErr w:type="spellStart"/>
      <w:r>
        <w:rPr>
          <w:sz w:val="28"/>
          <w:szCs w:val="28"/>
        </w:rPr>
        <w:t>Ерма</w:t>
      </w:r>
      <w:proofErr w:type="spellEnd"/>
      <w:r>
        <w:rPr>
          <w:sz w:val="28"/>
          <w:szCs w:val="28"/>
        </w:rPr>
        <w:t>», ООО «Иона-плюс», АО «</w:t>
      </w:r>
      <w:proofErr w:type="spellStart"/>
      <w:r>
        <w:rPr>
          <w:sz w:val="28"/>
          <w:szCs w:val="28"/>
        </w:rPr>
        <w:t>Иркутсклеспром</w:t>
      </w:r>
      <w:proofErr w:type="spellEnd"/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Сарминское</w:t>
      </w:r>
      <w:proofErr w:type="spellEnd"/>
      <w:r>
        <w:rPr>
          <w:sz w:val="28"/>
          <w:szCs w:val="28"/>
        </w:rPr>
        <w:t xml:space="preserve">», ООО «Строитель», ИП Баннова Н.Е., ИРОО </w:t>
      </w:r>
      <w:proofErr w:type="spellStart"/>
      <w:r>
        <w:rPr>
          <w:sz w:val="28"/>
          <w:szCs w:val="28"/>
        </w:rPr>
        <w:t>ЗабВОО</w:t>
      </w:r>
      <w:proofErr w:type="spellEnd"/>
      <w:r>
        <w:rPr>
          <w:sz w:val="28"/>
          <w:szCs w:val="28"/>
        </w:rPr>
        <w:t>, ООО</w:t>
      </w:r>
      <w:r>
        <w:rPr>
          <w:sz w:val="28"/>
          <w:szCs w:val="28"/>
        </w:rPr>
        <w:t xml:space="preserve"> «Компания Альтера», РОО </w:t>
      </w:r>
      <w:proofErr w:type="spellStart"/>
      <w:r>
        <w:rPr>
          <w:sz w:val="28"/>
          <w:szCs w:val="28"/>
        </w:rPr>
        <w:t>ИОООиР</w:t>
      </w:r>
      <w:proofErr w:type="spellEnd"/>
      <w:r>
        <w:rPr>
          <w:sz w:val="28"/>
          <w:szCs w:val="28"/>
        </w:rPr>
        <w:t xml:space="preserve"> «Медвежьи углы» (участки «</w:t>
      </w:r>
      <w:proofErr w:type="spellStart"/>
      <w:r>
        <w:rPr>
          <w:sz w:val="28"/>
          <w:szCs w:val="28"/>
        </w:rPr>
        <w:t>Гольцовый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Бурлик</w:t>
      </w:r>
      <w:proofErr w:type="spellEnd"/>
      <w:r>
        <w:rPr>
          <w:sz w:val="28"/>
          <w:szCs w:val="28"/>
        </w:rPr>
        <w:t>»), ООО «Кедр», ООО «</w:t>
      </w:r>
      <w:proofErr w:type="spellStart"/>
      <w:r>
        <w:rPr>
          <w:sz w:val="28"/>
          <w:szCs w:val="28"/>
        </w:rPr>
        <w:t>Тагул</w:t>
      </w:r>
      <w:proofErr w:type="spellEnd"/>
      <w:r>
        <w:rPr>
          <w:sz w:val="28"/>
          <w:szCs w:val="28"/>
        </w:rPr>
        <w:t>», ООО «Тайга» (</w:t>
      </w:r>
      <w:proofErr w:type="spellStart"/>
      <w:r>
        <w:rPr>
          <w:sz w:val="28"/>
          <w:szCs w:val="28"/>
        </w:rPr>
        <w:t>Тайшетский</w:t>
      </w:r>
      <w:proofErr w:type="spellEnd"/>
      <w:r>
        <w:rPr>
          <w:sz w:val="28"/>
          <w:szCs w:val="28"/>
        </w:rPr>
        <w:t xml:space="preserve"> район), ООО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-Яга», 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РО </w:t>
      </w:r>
      <w:proofErr w:type="spellStart"/>
      <w:r>
        <w:rPr>
          <w:sz w:val="28"/>
          <w:szCs w:val="28"/>
        </w:rPr>
        <w:t>ИОООиР</w:t>
      </w:r>
      <w:proofErr w:type="spellEnd"/>
      <w:r>
        <w:rPr>
          <w:sz w:val="28"/>
          <w:szCs w:val="28"/>
        </w:rPr>
        <w:t>, ООО «Охотничье хозяйство «</w:t>
      </w:r>
      <w:proofErr w:type="spellStart"/>
      <w:r>
        <w:rPr>
          <w:sz w:val="28"/>
          <w:szCs w:val="28"/>
        </w:rPr>
        <w:t>Колтошинское</w:t>
      </w:r>
      <w:proofErr w:type="spellEnd"/>
      <w:r>
        <w:rPr>
          <w:sz w:val="28"/>
          <w:szCs w:val="28"/>
        </w:rPr>
        <w:t xml:space="preserve">», ООО «Охотничье хозяйство «Соляное», </w:t>
      </w:r>
      <w:proofErr w:type="spellStart"/>
      <w:r>
        <w:rPr>
          <w:sz w:val="28"/>
          <w:szCs w:val="28"/>
        </w:rPr>
        <w:t>Тул</w:t>
      </w:r>
      <w:r>
        <w:rPr>
          <w:sz w:val="28"/>
          <w:szCs w:val="28"/>
        </w:rPr>
        <w:t>унское</w:t>
      </w:r>
      <w:proofErr w:type="spellEnd"/>
      <w:r>
        <w:rPr>
          <w:sz w:val="28"/>
          <w:szCs w:val="28"/>
        </w:rPr>
        <w:t xml:space="preserve"> РО </w:t>
      </w:r>
      <w:proofErr w:type="spellStart"/>
      <w:r>
        <w:rPr>
          <w:sz w:val="28"/>
          <w:szCs w:val="28"/>
        </w:rPr>
        <w:t>ИОООиР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Усольское</w:t>
      </w:r>
      <w:proofErr w:type="spellEnd"/>
      <w:r>
        <w:rPr>
          <w:sz w:val="28"/>
          <w:szCs w:val="28"/>
        </w:rPr>
        <w:t xml:space="preserve"> отделение </w:t>
      </w:r>
      <w:proofErr w:type="spellStart"/>
      <w:r>
        <w:rPr>
          <w:sz w:val="28"/>
          <w:szCs w:val="28"/>
        </w:rPr>
        <w:t>ИОООиР</w:t>
      </w:r>
      <w:proofErr w:type="spellEnd"/>
      <w:r>
        <w:rPr>
          <w:sz w:val="28"/>
          <w:szCs w:val="28"/>
        </w:rPr>
        <w:t xml:space="preserve">, ООО «Усть-Уда </w:t>
      </w:r>
      <w:proofErr w:type="spellStart"/>
      <w:r>
        <w:rPr>
          <w:sz w:val="28"/>
          <w:szCs w:val="28"/>
        </w:rPr>
        <w:t>Промохота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(участок «Илим»), ООО «</w:t>
      </w:r>
      <w:proofErr w:type="spellStart"/>
      <w:r>
        <w:rPr>
          <w:sz w:val="28"/>
          <w:szCs w:val="28"/>
        </w:rPr>
        <w:t>Иркутскзверпром</w:t>
      </w:r>
      <w:proofErr w:type="spellEnd"/>
      <w:r>
        <w:rPr>
          <w:sz w:val="28"/>
          <w:szCs w:val="28"/>
        </w:rPr>
        <w:t>» участок «</w:t>
      </w:r>
      <w:proofErr w:type="spellStart"/>
      <w:r>
        <w:rPr>
          <w:sz w:val="28"/>
          <w:szCs w:val="28"/>
        </w:rPr>
        <w:t>Голуметский</w:t>
      </w:r>
      <w:proofErr w:type="spellEnd"/>
      <w:r>
        <w:rPr>
          <w:sz w:val="28"/>
          <w:szCs w:val="28"/>
        </w:rPr>
        <w:t xml:space="preserve">», ООО «Больше-Бельское», ООО «Диана», ООО «ПСАТК», </w:t>
      </w:r>
      <w:proofErr w:type="spellStart"/>
      <w:r>
        <w:rPr>
          <w:sz w:val="28"/>
          <w:szCs w:val="28"/>
        </w:rPr>
        <w:t>Шелеховское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ИОООиР</w:t>
      </w:r>
      <w:proofErr w:type="spellEnd"/>
      <w:r>
        <w:rPr>
          <w:sz w:val="28"/>
          <w:szCs w:val="28"/>
        </w:rPr>
        <w:t xml:space="preserve">, на территории </w:t>
      </w:r>
      <w:proofErr w:type="spellStart"/>
      <w:r>
        <w:rPr>
          <w:sz w:val="28"/>
          <w:szCs w:val="28"/>
        </w:rPr>
        <w:t>охотугодий</w:t>
      </w:r>
      <w:proofErr w:type="spellEnd"/>
      <w:r>
        <w:rPr>
          <w:sz w:val="28"/>
          <w:szCs w:val="28"/>
        </w:rPr>
        <w:t xml:space="preserve"> который плотность кабарги </w:t>
      </w:r>
      <w:r>
        <w:rPr>
          <w:sz w:val="28"/>
          <w:szCs w:val="28"/>
        </w:rPr>
        <w:t xml:space="preserve">составляет от 4,1 до 14,8 </w:t>
      </w:r>
      <w:r>
        <w:rPr>
          <w:sz w:val="28"/>
          <w:szCs w:val="28"/>
          <w:highlight w:val="white"/>
        </w:rPr>
        <w:t>особи/1000 га</w:t>
      </w:r>
      <w:r>
        <w:rPr>
          <w:sz w:val="28"/>
          <w:szCs w:val="28"/>
        </w:rPr>
        <w:t>.</w:t>
      </w:r>
    </w:p>
    <w:p w:rsidR="00AE5359" w:rsidRDefault="001C539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Например, в соседних охотничьих угодьях </w:t>
      </w:r>
      <w:proofErr w:type="spellStart"/>
      <w:r>
        <w:rPr>
          <w:sz w:val="30"/>
          <w:szCs w:val="30"/>
        </w:rPr>
        <w:t>Тайшетского</w:t>
      </w:r>
      <w:proofErr w:type="spellEnd"/>
      <w:r>
        <w:rPr>
          <w:sz w:val="30"/>
          <w:szCs w:val="30"/>
        </w:rPr>
        <w:t xml:space="preserve"> района плотность кабарги варьирует от 0,5 до 10,7 </w:t>
      </w:r>
      <w:r>
        <w:rPr>
          <w:sz w:val="28"/>
          <w:szCs w:val="28"/>
          <w:highlight w:val="white"/>
        </w:rPr>
        <w:t>особи/1000 га</w:t>
      </w:r>
      <w:r>
        <w:rPr>
          <w:sz w:val="30"/>
          <w:szCs w:val="30"/>
        </w:rPr>
        <w:t>, что свидетельствует о предоставлении в данные государственного мониторинга охотничьих ресурсов недостоверной сведений о ее численности для выделения завышенных квот добычи.</w:t>
      </w:r>
    </w:p>
    <w:p w:rsidR="00AE5359" w:rsidRDefault="001C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sz w:val="28"/>
          <w:szCs w:val="28"/>
          <w:highlight w:val="white"/>
        </w:rPr>
        <w:t>на общественных обсуждениях</w:t>
      </w:r>
      <w:r>
        <w:rPr>
          <w:sz w:val="28"/>
          <w:szCs w:val="28"/>
        </w:rPr>
        <w:t xml:space="preserve"> необходимо рассмотреть вопрос о перераспр</w:t>
      </w:r>
      <w:r>
        <w:rPr>
          <w:sz w:val="28"/>
          <w:szCs w:val="28"/>
        </w:rPr>
        <w:t xml:space="preserve">еделении заявленного объема добычи соболя для осуществления </w:t>
      </w:r>
      <w:r>
        <w:rPr>
          <w:sz w:val="28"/>
          <w:szCs w:val="28"/>
        </w:rPr>
        <w:t xml:space="preserve">охоты в целях обеспечения ведения традиционного образа жизни и осуществления традиционной хозяйственной деятельности </w:t>
      </w:r>
      <w:r>
        <w:rPr>
          <w:color w:val="000000"/>
          <w:sz w:val="28"/>
          <w:szCs w:val="28"/>
        </w:rPr>
        <w:t>коренных малочисленных народов Севера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традиционная охота КМНС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на основании нижеизложенного в пользу квот для осуществления любительской и спортивной охоты.</w:t>
      </w:r>
    </w:p>
    <w:p w:rsidR="00AE5359" w:rsidRDefault="001C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23 </w:t>
      </w:r>
      <w:r>
        <w:rPr>
          <w:sz w:val="28"/>
          <w:szCs w:val="28"/>
          <w:highlight w:val="white"/>
        </w:rPr>
        <w:t>Федерального закона «Об охоте»</w:t>
      </w:r>
      <w:r>
        <w:rPr>
          <w:sz w:val="28"/>
          <w:szCs w:val="28"/>
        </w:rPr>
        <w:t xml:space="preserve"> Правила охоты обязательны для исполнения физическими лицами и юридическими лицами, осуществляющими ви</w:t>
      </w:r>
      <w:r>
        <w:rPr>
          <w:sz w:val="28"/>
          <w:szCs w:val="28"/>
        </w:rPr>
        <w:t>ды деятельности в сфере охотничьего хозяйства, за исключением деятельности, указанной в статье 14.1 настоящего Федерального закона.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  <w:highlight w:val="white"/>
        </w:rPr>
        <w:t>Правил охоты</w:t>
      </w:r>
      <w:r>
        <w:rPr>
          <w:sz w:val="28"/>
          <w:szCs w:val="28"/>
        </w:rPr>
        <w:t>: транспортировка продукции охоты и ее реализация производится при наличии разрешения на добычу охо</w:t>
      </w:r>
      <w:r>
        <w:rPr>
          <w:sz w:val="28"/>
          <w:szCs w:val="28"/>
        </w:rPr>
        <w:t>тничьих ресурсов,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ресурсов; т</w:t>
      </w:r>
      <w:r>
        <w:rPr>
          <w:sz w:val="28"/>
          <w:szCs w:val="28"/>
        </w:rPr>
        <w:t>радиционная охота КМНС</w:t>
      </w:r>
      <w:r>
        <w:rPr>
          <w:sz w:val="28"/>
          <w:szCs w:val="28"/>
        </w:rPr>
        <w:t xml:space="preserve"> осуществляется свободно (без каки</w:t>
      </w:r>
      <w:r>
        <w:rPr>
          <w:sz w:val="28"/>
          <w:szCs w:val="28"/>
        </w:rPr>
        <w:t xml:space="preserve">х-либо разрешений на добычу охотничьих ресурсов) в течение года с соблюдением требований, установленных Правилами охоты. 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добытая при осуществлении традиционной </w:t>
      </w:r>
      <w:r>
        <w:rPr>
          <w:sz w:val="28"/>
          <w:szCs w:val="28"/>
        </w:rPr>
        <w:t xml:space="preserve">охоты </w:t>
      </w:r>
      <w:r>
        <w:rPr>
          <w:sz w:val="28"/>
          <w:szCs w:val="28"/>
        </w:rPr>
        <w:t>продукция охоты не может быть реализована организациям, осуществляющим дея</w:t>
      </w:r>
      <w:r>
        <w:rPr>
          <w:sz w:val="28"/>
          <w:szCs w:val="28"/>
        </w:rPr>
        <w:t>тельность по ее закупке. Что создает правовую коллизию для КМНС.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перевод добычи соболя из традиционной охоты в любительскую и спортивную позволит КМСН реализовать добытых соболей организациям, осуществляющим деятельность по закупке продукции</w:t>
      </w:r>
      <w:r>
        <w:rPr>
          <w:sz w:val="28"/>
          <w:szCs w:val="28"/>
        </w:rPr>
        <w:t xml:space="preserve"> охоты.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При направлении службой материалов, обосновывающих лимит и квоты добычи охотничьих ресурсов в сезоне охоты 2024-2025 гг., в министерство природных ресурсов и экологии Иркутской области, которое уполномочено проводить государственную экологическую э</w:t>
      </w:r>
      <w:r>
        <w:rPr>
          <w:sz w:val="28"/>
          <w:szCs w:val="28"/>
          <w:highlight w:val="white"/>
        </w:rPr>
        <w:t>кспертизу, настоящий раздел будет дополнен, а также сформированы и утверждены окончательные материалы ОВОС на основании анализа и учета замечаний, предложений и информации, поступившей от общественности в ходе проведения общественных обсуждений</w:t>
      </w:r>
      <w:r>
        <w:rPr>
          <w:sz w:val="28"/>
          <w:szCs w:val="28"/>
        </w:rPr>
        <w:t>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 ______</w:t>
      </w:r>
      <w:r>
        <w:rPr>
          <w:sz w:val="28"/>
          <w:szCs w:val="28"/>
        </w:rPr>
        <w:t>_____________________________________________________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 Оценка воздействия на окружающую среду в случае разрушения или ухудшения среды обитания объектов животного мира (лесные пожары) на территории Иркутской области в 2023 г.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Для осуществления видов дея</w:t>
      </w:r>
      <w:r>
        <w:rPr>
          <w:sz w:val="28"/>
          <w:szCs w:val="28"/>
          <w:highlight w:val="white"/>
        </w:rPr>
        <w:t xml:space="preserve">тельности в сфере охотничьего хозяйства общая площадь арендованных лесных участков составляет 614,8 тыс. га. 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2022 году проведено 9 405 патрулирований лесов, по результатам которых выявлено 513 нарушений лесного законодательства. Виновные лица привлечены</w:t>
      </w:r>
      <w:r>
        <w:rPr>
          <w:sz w:val="28"/>
          <w:szCs w:val="28"/>
          <w:highlight w:val="white"/>
        </w:rPr>
        <w:t xml:space="preserve"> к административной ответственности в виде административных штрафов на общую сумму 3 386,5 тыс. рублей.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пожароопасного сезона зарегистрировано 424 лесных пожара на общей площади 12 881,1 га. В 2022 году было зарегистрировано 745 пожаров на общей п</w:t>
      </w:r>
      <w:r>
        <w:rPr>
          <w:sz w:val="28"/>
          <w:szCs w:val="28"/>
        </w:rPr>
        <w:t>лощади 194 165,8 га. В сравнении со средними пятилетними показателями количество пожаров на землях лесного фонда в 2023 году сократилось более чем в 1,5 раза, а площадь пожаров – в 42 раза.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прохождение пожароопасного сезона 2023 года стало возможн</w:t>
      </w:r>
      <w:r>
        <w:rPr>
          <w:sz w:val="28"/>
          <w:szCs w:val="28"/>
        </w:rPr>
        <w:t xml:space="preserve">ым благодаря множеству мер, предпринятых при подготовке к сезону. Например, в соответствии с поручением Губернатора </w:t>
      </w:r>
      <w:r>
        <w:rPr>
          <w:sz w:val="28"/>
          <w:szCs w:val="28"/>
          <w:highlight w:val="white"/>
        </w:rPr>
        <w:t xml:space="preserve">Иркутской области </w:t>
      </w:r>
      <w:r>
        <w:rPr>
          <w:sz w:val="28"/>
          <w:szCs w:val="28"/>
        </w:rPr>
        <w:t xml:space="preserve">увеличено финансирование, закуплена новая техника и видеокамеры, проведены проверки всех </w:t>
      </w:r>
      <w:proofErr w:type="spellStart"/>
      <w:r>
        <w:rPr>
          <w:sz w:val="28"/>
          <w:szCs w:val="28"/>
        </w:rPr>
        <w:t>лесопожарных</w:t>
      </w:r>
      <w:proofErr w:type="spellEnd"/>
      <w:r>
        <w:rPr>
          <w:sz w:val="28"/>
          <w:szCs w:val="28"/>
        </w:rPr>
        <w:t xml:space="preserve"> станций и </w:t>
      </w:r>
      <w:proofErr w:type="spellStart"/>
      <w:r>
        <w:rPr>
          <w:sz w:val="28"/>
          <w:szCs w:val="28"/>
        </w:rPr>
        <w:t>авиаотделе</w:t>
      </w:r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. 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землях лесного фонда было построено 310 км и реконструировано 727 км лесных дорог, проложено 864 км противопожарных минерализованных полос. На 385 км проложены просек и созданы противопожарные разрывы, а также на 525 км проведена их пр</w:t>
      </w:r>
      <w:r>
        <w:rPr>
          <w:sz w:val="28"/>
          <w:szCs w:val="28"/>
        </w:rPr>
        <w:t>очистка. Благоустроено 663 места отдыха для граждан, установлено почти 4 тыс. баннеров, аншлагов, стендов, знаков и указателей.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профилактических мероприятий изготовлено и распространено 27,5 тысяч листовок, памяток, буклетов. На тему с</w:t>
      </w:r>
      <w:r>
        <w:rPr>
          <w:sz w:val="28"/>
          <w:szCs w:val="28"/>
        </w:rPr>
        <w:t>облюдения правил пожарной безопасности проведено 112 уроков, 8,5 тысяч бесед с населением и 30 просветительских акций. Опубликовано 37 статей в СМИ, выпущено 13 сюжетов на телевидении и 2 радиотрансляции.</w:t>
      </w:r>
    </w:p>
    <w:p w:rsidR="00AE5359" w:rsidRDefault="001C539E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Размеры площадей по классам среды обитания охотничь</w:t>
      </w:r>
      <w:r>
        <w:rPr>
          <w:color w:val="000000"/>
          <w:sz w:val="28"/>
          <w:szCs w:val="28"/>
          <w:highlight w:val="white"/>
        </w:rPr>
        <w:t>их ресурсов, в том числе преобразованных и поврежденных участках</w:t>
      </w:r>
      <w:r>
        <w:rPr>
          <w:color w:val="000000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 </w:t>
      </w:r>
      <w:r>
        <w:rPr>
          <w:color w:val="000000"/>
          <w:sz w:val="28"/>
          <w:szCs w:val="28"/>
          <w:highlight w:val="white"/>
        </w:rPr>
        <w:t xml:space="preserve">указаны в </w:t>
      </w:r>
      <w:r>
        <w:rPr>
          <w:sz w:val="28"/>
          <w:szCs w:val="28"/>
          <w:highlight w:val="white"/>
        </w:rPr>
        <w:t xml:space="preserve">Схеме </w:t>
      </w:r>
      <w:proofErr w:type="spellStart"/>
      <w:r>
        <w:rPr>
          <w:sz w:val="28"/>
          <w:szCs w:val="28"/>
          <w:highlight w:val="white"/>
        </w:rPr>
        <w:t>охотустройства</w:t>
      </w:r>
      <w:proofErr w:type="spellEnd"/>
      <w:r>
        <w:rPr>
          <w:sz w:val="28"/>
          <w:szCs w:val="28"/>
          <w:highlight w:val="white"/>
        </w:rPr>
        <w:t xml:space="preserve"> Иркутской области</w:t>
      </w:r>
      <w:r>
        <w:rPr>
          <w:color w:val="000000"/>
          <w:sz w:val="28"/>
          <w:szCs w:val="28"/>
          <w:highlight w:val="white"/>
        </w:rPr>
        <w:t>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Фактов гибели объектов животного мира от лесных пожаров на территории Иркутской области в 2023 году не зафиксировано. Сообщения о гибели объектов животного мира в результате лесных пожаров на территории Ирк</w:t>
      </w:r>
      <w:r>
        <w:rPr>
          <w:sz w:val="28"/>
          <w:szCs w:val="28"/>
          <w:highlight w:val="white"/>
        </w:rPr>
        <w:t>утской области от граждан или организаций в службу не поступали.</w:t>
      </w:r>
    </w:p>
    <w:p w:rsidR="00AE5359" w:rsidRDefault="00AE5359">
      <w:pPr>
        <w:shd w:val="clear" w:color="auto" w:fill="FFFFFF"/>
        <w:ind w:firstLine="709"/>
        <w:jc w:val="both"/>
        <w:rPr>
          <w:b/>
          <w:sz w:val="28"/>
          <w:szCs w:val="28"/>
          <w:highlight w:val="yellow"/>
        </w:rPr>
      </w:pPr>
    </w:p>
    <w:p w:rsidR="00AE5359" w:rsidRDefault="001C539E">
      <w:pPr>
        <w:shd w:val="clear" w:color="auto" w:fill="FFFFFF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5. Осуществление федерального государственного охотничьего контроля (надзора) на территории Иркутской области в 2023 г.</w:t>
      </w:r>
    </w:p>
    <w:p w:rsidR="00AE5359" w:rsidRDefault="00AE53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течение 2023 года в охотничьих угодьях Иркутской области </w:t>
      </w:r>
      <w:r>
        <w:rPr>
          <w:sz w:val="28"/>
          <w:szCs w:val="28"/>
        </w:rPr>
        <w:t>выявлено и пресечено 1 565 фактов нарушений законодательства в области охоты и сохранения охотничьих ресурсов, охраны и использования объектов животного мира и среды их обитания, за которые предусмотрена административная ответственность, из них 1 271 наруш</w:t>
      </w:r>
      <w:r>
        <w:rPr>
          <w:sz w:val="28"/>
          <w:szCs w:val="28"/>
        </w:rPr>
        <w:t>ение выявлено государственными охотничьими инспекторами, 273 – производственными охотничьими инспекторами и 21 – сотрудниками полиции и прокуратуры.</w:t>
      </w:r>
    </w:p>
    <w:p w:rsidR="00AE5359" w:rsidRDefault="001C53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нарушителей природоохранного законодательства наложено штрафов на сумму 2 466,8 тыс. рублей. В течение </w:t>
      </w:r>
      <w:r>
        <w:rPr>
          <w:sz w:val="28"/>
          <w:szCs w:val="28"/>
        </w:rPr>
        <w:t>2023 г. с нарушителей взыскано административных штрафов на сумму 1 558,1 тыс. рублей.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органы полиции направлено 46 заявления о выявлении обстоятельств, содержащих признаки уголовного деяния, предусмотренного статьей 258 «Незаконная охота» Уголовного коде</w:t>
      </w:r>
      <w:r>
        <w:rPr>
          <w:sz w:val="28"/>
          <w:szCs w:val="28"/>
          <w:highlight w:val="white"/>
        </w:rPr>
        <w:t>кса РФ. По результатам рассмотрения данный заявлений возбуждено 15 уголовных дел, по 5 заявлениям направлены отказы в возбуждении уголовных дел, по остальным ведутся оперативно-розыскные мероприятия.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 нарушителей природоохранного законодательства изъято 9</w:t>
      </w:r>
      <w:r>
        <w:rPr>
          <w:sz w:val="28"/>
          <w:szCs w:val="28"/>
          <w:highlight w:val="white"/>
        </w:rPr>
        <w:t>3 единицы охотничьего огнестрельного оружия, 236 ед. прочих орудий охоты (</w:t>
      </w:r>
      <w:r>
        <w:rPr>
          <w:sz w:val="28"/>
          <w:szCs w:val="28"/>
        </w:rPr>
        <w:t>капканы, петли и другие запрещенные устройства, используемые при осуществлении охоты</w:t>
      </w:r>
      <w:r>
        <w:rPr>
          <w:sz w:val="28"/>
          <w:szCs w:val="28"/>
          <w:highlight w:val="white"/>
        </w:rPr>
        <w:t>).</w:t>
      </w:r>
    </w:p>
    <w:p w:rsidR="00AE5359" w:rsidRDefault="001C539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правоохранительные органы направлено 45 заявлений по признакам состава преступления, предусмо</w:t>
      </w:r>
      <w:r>
        <w:rPr>
          <w:color w:val="000000"/>
          <w:sz w:val="28"/>
          <w:szCs w:val="28"/>
        </w:rPr>
        <w:t xml:space="preserve">тренного статей 258 Уголовного кодекса Российской Федерации «Незаконная охота». По итогам оконченных </w:t>
      </w:r>
      <w:proofErr w:type="spellStart"/>
      <w:r>
        <w:rPr>
          <w:color w:val="000000"/>
          <w:sz w:val="28"/>
          <w:szCs w:val="28"/>
        </w:rPr>
        <w:t>доследственных</w:t>
      </w:r>
      <w:proofErr w:type="spellEnd"/>
      <w:r>
        <w:rPr>
          <w:color w:val="000000"/>
          <w:sz w:val="28"/>
          <w:szCs w:val="28"/>
        </w:rPr>
        <w:t xml:space="preserve"> проверок, возбуждено 6 уголовных дел, по 4 заявлениям вынесены постановления об отказе в возбуждении уголовного дела. В суде рассмотрено 5 у</w:t>
      </w:r>
      <w:r>
        <w:rPr>
          <w:color w:val="000000"/>
          <w:sz w:val="28"/>
          <w:szCs w:val="28"/>
        </w:rPr>
        <w:t xml:space="preserve">головных дел, вынесены обвинительные приговоры в отношении 9 граждан. 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Кроме того, </w:t>
      </w:r>
      <w:r>
        <w:rPr>
          <w:sz w:val="28"/>
          <w:szCs w:val="28"/>
        </w:rPr>
        <w:t>службой проведены следующие профилактические мероприятия, в т.ч.: 2692 консультирования, 55 профилактических визита, объявлено 4 предостережения, осуществлены 3 наблюдения з</w:t>
      </w:r>
      <w:r>
        <w:rPr>
          <w:sz w:val="28"/>
          <w:szCs w:val="28"/>
        </w:rPr>
        <w:t>а соблюдением обязательных требований (мониторинг безопасности), 10 информирований.</w:t>
      </w:r>
    </w:p>
    <w:p w:rsidR="00AE5359" w:rsidRDefault="00AE5359">
      <w:pPr>
        <w:jc w:val="right"/>
        <w:rPr>
          <w:sz w:val="28"/>
          <w:szCs w:val="28"/>
        </w:rPr>
      </w:pPr>
    </w:p>
    <w:p w:rsidR="00AE5359" w:rsidRDefault="001C539E">
      <w:pPr>
        <w:jc w:val="right"/>
      </w:pPr>
      <w:r>
        <w:rPr>
          <w:sz w:val="24"/>
          <w:szCs w:val="24"/>
        </w:rPr>
        <w:t>Таблица 1</w:t>
      </w:r>
    </w:p>
    <w:p w:rsidR="00AE5359" w:rsidRDefault="00AE5359">
      <w:pPr>
        <w:jc w:val="right"/>
        <w:rPr>
          <w:sz w:val="28"/>
          <w:szCs w:val="28"/>
        </w:rPr>
      </w:pPr>
    </w:p>
    <w:p w:rsidR="00AE5359" w:rsidRDefault="001C539E">
      <w:pPr>
        <w:jc w:val="center"/>
        <w:rPr>
          <w:sz w:val="24"/>
          <w:szCs w:val="24"/>
        </w:rPr>
      </w:pPr>
      <w:r>
        <w:rPr>
          <w:sz w:val="24"/>
          <w:szCs w:val="24"/>
        </w:rPr>
        <w:t>Выявленная службой незаконная добыча охотничьих ресурсов в 2023 г.</w:t>
      </w:r>
    </w:p>
    <w:p w:rsidR="00AE5359" w:rsidRDefault="00AE535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AE5359"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охотничьих ресурсов</w:t>
            </w:r>
          </w:p>
        </w:tc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особей</w:t>
            </w:r>
          </w:p>
        </w:tc>
      </w:tr>
      <w:tr w:rsidR="00AE5359"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E5359"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Изюбрь</w:t>
            </w:r>
          </w:p>
        </w:tc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5359"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Косуля сибирская</w:t>
            </w:r>
          </w:p>
        </w:tc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E5359"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Кабарга</w:t>
            </w:r>
          </w:p>
        </w:tc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E5359"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Соболь</w:t>
            </w:r>
          </w:p>
        </w:tc>
        <w:tc>
          <w:tcPr>
            <w:tcW w:w="4672" w:type="dxa"/>
            <w:shd w:val="clear" w:color="auto" w:fill="auto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E5359" w:rsidRDefault="00AE5359">
      <w:pPr>
        <w:shd w:val="clear" w:color="auto" w:fill="FFFFFF"/>
        <w:tabs>
          <w:tab w:val="left" w:pos="6123"/>
        </w:tabs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b/>
          <w:bCs/>
          <w:sz w:val="28"/>
          <w:szCs w:val="28"/>
          <w:highlight w:val="white"/>
        </w:rPr>
        <w:t>6. Анализ добычи охотничьих ресурсов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Сведения об освоении утвержденных лимитов добычи охотничьих ресурсов в сезоне охоты 2022-2024 гг. на территории Иркутской области указаны в таблице 4.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анализу,</w:t>
      </w:r>
      <w:r>
        <w:rPr>
          <w:sz w:val="28"/>
          <w:szCs w:val="28"/>
          <w:highlight w:val="white"/>
        </w:rPr>
        <w:t xml:space="preserve"> максимально осваивается лимит добычи кабарги, косули и соболя, что обусловлено спросом полученной от них продукции охоты. 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тоже время велика вероятность того, что после добычи животного охотники не закрывают разрешения, что регулярно выявляется </w:t>
      </w:r>
      <w:proofErr w:type="spellStart"/>
      <w:r>
        <w:rPr>
          <w:sz w:val="28"/>
          <w:szCs w:val="28"/>
          <w:highlight w:val="white"/>
        </w:rPr>
        <w:t>госохотинспекторами</w:t>
      </w:r>
      <w:proofErr w:type="spellEnd"/>
      <w:r>
        <w:rPr>
          <w:sz w:val="28"/>
          <w:szCs w:val="28"/>
          <w:highlight w:val="white"/>
        </w:rPr>
        <w:t xml:space="preserve"> службы и влияет на достоверность данных государственного мониторинга охотничьих ресурсов. Кроме того, при утверж</w:t>
      </w:r>
      <w:r>
        <w:rPr>
          <w:sz w:val="28"/>
          <w:szCs w:val="28"/>
          <w:highlight w:val="white"/>
        </w:rPr>
        <w:t xml:space="preserve">дении лимита добычи охотничьих ресурсов </w:t>
      </w:r>
      <w:proofErr w:type="spellStart"/>
      <w:r>
        <w:rPr>
          <w:sz w:val="28"/>
          <w:szCs w:val="28"/>
          <w:highlight w:val="white"/>
        </w:rPr>
        <w:t>охотпользователи</w:t>
      </w:r>
      <w:proofErr w:type="spellEnd"/>
      <w:r>
        <w:rPr>
          <w:sz w:val="28"/>
          <w:szCs w:val="28"/>
          <w:highlight w:val="white"/>
        </w:rPr>
        <w:t xml:space="preserve"> заявляют максимальную квоту добычи охотничьих ресурсов, а по факту не реализовывают часть разрешений из-за установленной ими высокой стоимости путевок и других причин.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Низкое освоение лимита добычи м</w:t>
      </w:r>
      <w:r>
        <w:rPr>
          <w:sz w:val="28"/>
          <w:szCs w:val="28"/>
          <w:highlight w:val="white"/>
        </w:rPr>
        <w:t>едведя обусловлено высокой стоимостью разрешений на его добычу, а также отсутствием спроса на его дериваты и стремлением охотников добывать медведя. Так в прошедшем сезоне охоты выдана всего половина разрешений на добычу медведей от утвержденного лимита, и</w:t>
      </w:r>
      <w:r>
        <w:rPr>
          <w:sz w:val="28"/>
          <w:szCs w:val="28"/>
          <w:highlight w:val="white"/>
        </w:rPr>
        <w:t xml:space="preserve">з которых освоено всего 11 %. Данная ситуация взята службой на контроль и в 2023 году с 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 xml:space="preserve"> проведена соответствующая работа по надлежащему освоению квот добычи и достижению установленных Минприроды России показателей</w:t>
      </w:r>
      <w:r>
        <w:rPr>
          <w:sz w:val="28"/>
          <w:szCs w:val="28"/>
        </w:rPr>
        <w:t xml:space="preserve">, в том числе в </w:t>
      </w:r>
      <w:proofErr w:type="spellStart"/>
      <w:r>
        <w:rPr>
          <w:sz w:val="28"/>
          <w:szCs w:val="28"/>
        </w:rPr>
        <w:t>охотхозя</w:t>
      </w:r>
      <w:r>
        <w:rPr>
          <w:sz w:val="28"/>
          <w:szCs w:val="28"/>
        </w:rPr>
        <w:t>йствненные</w:t>
      </w:r>
      <w:proofErr w:type="spellEnd"/>
      <w:r>
        <w:rPr>
          <w:sz w:val="28"/>
          <w:szCs w:val="28"/>
        </w:rPr>
        <w:t xml:space="preserve"> соглашения внесены дополнения в этой части.</w:t>
      </w:r>
    </w:p>
    <w:p w:rsidR="00AE5359" w:rsidRDefault="00AE5359">
      <w:pPr>
        <w:shd w:val="clear" w:color="auto" w:fill="FFFFFF"/>
        <w:tabs>
          <w:tab w:val="left" w:pos="5518"/>
        </w:tabs>
        <w:ind w:firstLine="709"/>
        <w:jc w:val="both"/>
        <w:rPr>
          <w:sz w:val="28"/>
          <w:szCs w:val="28"/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highlight w:val="white"/>
        </w:rPr>
        <w:t>. Оценка воздействия на окружающую среду при освоении объемов (квот, лимитов) изъятия охотничьих ресурсов, предлагаемых к установлению на территории Иркутской области в сезон охоты 2024-2025 гг.</w:t>
      </w:r>
    </w:p>
    <w:p w:rsidR="00AE5359" w:rsidRDefault="00AE5359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Ста</w:t>
      </w:r>
      <w:r>
        <w:rPr>
          <w:sz w:val="28"/>
          <w:szCs w:val="28"/>
          <w:highlight w:val="white"/>
        </w:rPr>
        <w:t xml:space="preserve">тьей 47 Федерального закона «Об охоте» установлено, что к биотехническим мероприятиям относятся меры по поддержанию и увеличению численности охотничьих ресурсов. 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Содержание биотехнических мероприятий, порядок их проведения устанавливаются уполномоченным ф</w:t>
      </w:r>
      <w:r>
        <w:rPr>
          <w:sz w:val="28"/>
          <w:szCs w:val="28"/>
          <w:highlight w:val="white"/>
        </w:rPr>
        <w:t>едеральным органом исполнительной власти.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Приказом Минприроды России от 24.12.2010 № 560 «Об утверждении видов и состава биотехнических мероприятий, а также порядка их проведения в целях сохранения охотничьих ресурсов» утверждены виды и состав биотехническ</w:t>
      </w:r>
      <w:r>
        <w:rPr>
          <w:sz w:val="28"/>
          <w:szCs w:val="28"/>
          <w:highlight w:val="white"/>
        </w:rPr>
        <w:t xml:space="preserve">их мероприятий, а также </w:t>
      </w:r>
      <w:r>
        <w:rPr>
          <w:color w:val="000000"/>
          <w:sz w:val="28"/>
          <w:szCs w:val="28"/>
          <w:highlight w:val="white"/>
        </w:rPr>
        <w:t xml:space="preserve">порядка их проведения в целях сохранения охотничьих ресурсов. 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Основными биотехническими мероприятиями по поддержанию и увеличению численности охотничьих ресурсов являются: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highlight w:val="white"/>
        </w:rPr>
        <w:lastRenderedPageBreak/>
        <w:t>- предотвращение незаконной добычи охотничьих ресурсов, а т</w:t>
      </w:r>
      <w:r>
        <w:rPr>
          <w:color w:val="000000"/>
          <w:sz w:val="28"/>
          <w:highlight w:val="white"/>
        </w:rPr>
        <w:t>акже разрушения и уничтожения среды их обитания;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highlight w:val="white"/>
        </w:rPr>
        <w:t>- изъятие хищных животных (за исключением объектов животного мира, отнесенных к охотничьим ресурсам, а также млекопитающих и птиц, занесенных в Красную книгу Российской Федерации и (или) в красные книги субъ</w:t>
      </w:r>
      <w:r>
        <w:rPr>
          <w:color w:val="000000"/>
          <w:sz w:val="28"/>
          <w:highlight w:val="white"/>
        </w:rPr>
        <w:t>ектов Российской Федерации), влияющих на сокращение численности охотничьих ресурсов.</w:t>
      </w:r>
    </w:p>
    <w:p w:rsidR="00AE5359" w:rsidRDefault="001C539E">
      <w:pPr>
        <w:pStyle w:val="14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организации охоты по регулированию численности охотничьих ресурсов, представляющих угрозу здоровью граждан, в 2023 году службой принято: 45 решений о регулировани</w:t>
      </w:r>
      <w:r>
        <w:rPr>
          <w:rFonts w:ascii="Times New Roman" w:hAnsi="Times New Roman"/>
          <w:sz w:val="28"/>
          <w:szCs w:val="28"/>
        </w:rPr>
        <w:t>и 64 особи бурого медведя, из которых добыто 36 особей, 1 решение о регулировании 8 особей волка (не добыты). В рамках организации охоты по регулированию численности охотничьих ресурсов в результате угрозы возникновения распространения их болезней, принято</w:t>
      </w:r>
      <w:r>
        <w:rPr>
          <w:rFonts w:ascii="Times New Roman" w:hAnsi="Times New Roman"/>
          <w:sz w:val="28"/>
          <w:szCs w:val="28"/>
        </w:rPr>
        <w:t xml:space="preserve"> 1 решение на регулирование: 1 особи волка,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особи лисицы (добыта), 1 особи соболя, 1 особи колонка.</w:t>
      </w:r>
    </w:p>
    <w:p w:rsidR="00AE5359" w:rsidRDefault="001C539E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highlight w:val="white"/>
        </w:rPr>
        <w:t>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</w:t>
      </w:r>
      <w:r>
        <w:rPr>
          <w:color w:val="000000"/>
          <w:sz w:val="28"/>
          <w:highlight w:val="white"/>
        </w:rPr>
        <w:t xml:space="preserve">ми </w:t>
      </w:r>
      <w:proofErr w:type="spellStart"/>
      <w:r>
        <w:rPr>
          <w:color w:val="000000"/>
          <w:sz w:val="28"/>
          <w:highlight w:val="white"/>
        </w:rPr>
        <w:t>охотхозяйственные</w:t>
      </w:r>
      <w:proofErr w:type="spellEnd"/>
      <w:r>
        <w:rPr>
          <w:color w:val="000000"/>
          <w:sz w:val="28"/>
          <w:highlight w:val="white"/>
        </w:rPr>
        <w:t xml:space="preserve"> соглашения или у которых право долгосрочного пользования животным миром возникло на основании долгосрочных лицензий на пользование объектами животного мира.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/>
          <w:sz w:val="28"/>
          <w:highlight w:val="white"/>
        </w:rPr>
        <w:t>Проведение биотехнических мероприятий в закрепленных охотничьих угодьях осущес</w:t>
      </w:r>
      <w:r>
        <w:rPr>
          <w:color w:val="000000"/>
          <w:sz w:val="28"/>
          <w:highlight w:val="white"/>
        </w:rPr>
        <w:t xml:space="preserve">твляется в течение календарного года в объеме и составе, определяемом </w:t>
      </w:r>
      <w:proofErr w:type="spellStart"/>
      <w:r>
        <w:rPr>
          <w:color w:val="000000"/>
          <w:sz w:val="28"/>
          <w:highlight w:val="white"/>
        </w:rPr>
        <w:t>охотпользователями</w:t>
      </w:r>
      <w:proofErr w:type="spellEnd"/>
      <w:r>
        <w:rPr>
          <w:color w:val="000000"/>
          <w:sz w:val="28"/>
          <w:highlight w:val="white"/>
        </w:rPr>
        <w:t>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Оценивая современные показатели плотности населения копытных животных и численности на территории Иркутской области, можно отметить, ее увеличение. Поэтому </w:t>
      </w:r>
      <w:proofErr w:type="spellStart"/>
      <w:r>
        <w:rPr>
          <w:sz w:val="28"/>
          <w:szCs w:val="28"/>
          <w:highlight w:val="white"/>
        </w:rPr>
        <w:t>охотпользо</w:t>
      </w:r>
      <w:r>
        <w:rPr>
          <w:sz w:val="28"/>
          <w:szCs w:val="28"/>
          <w:highlight w:val="white"/>
        </w:rPr>
        <w:t>вателям</w:t>
      </w:r>
      <w:proofErr w:type="spellEnd"/>
      <w:r>
        <w:rPr>
          <w:sz w:val="28"/>
          <w:szCs w:val="28"/>
          <w:highlight w:val="white"/>
        </w:rPr>
        <w:t xml:space="preserve"> необходимо выполнять в достаточном объеме обязательства по охранным и биотехническим мероприятиям.</w:t>
      </w:r>
    </w:p>
    <w:p w:rsidR="00AE5359" w:rsidRDefault="001C539E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  <w:highlight w:val="white"/>
        </w:rPr>
        <w:t>Согласно опросных сведений</w:t>
      </w:r>
      <w:proofErr w:type="gramEnd"/>
      <w:r>
        <w:rPr>
          <w:sz w:val="28"/>
          <w:szCs w:val="28"/>
          <w:highlight w:val="white"/>
        </w:rPr>
        <w:t>, отчетных материалов по динамике численности и добыче копытных и пушных животных в настоящий период охота незначительно вл</w:t>
      </w:r>
      <w:r>
        <w:rPr>
          <w:sz w:val="28"/>
          <w:szCs w:val="28"/>
          <w:highlight w:val="white"/>
        </w:rPr>
        <w:t>ияет на воспроизводство популяций охотничьих ресурсов.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17.2, 18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составу, утвержденн</w:t>
      </w:r>
      <w:r>
        <w:rPr>
          <w:sz w:val="28"/>
          <w:szCs w:val="28"/>
        </w:rPr>
        <w:t>ым приказом Минприроды России от 27.11.2020 № 981, в проект лимита и квот указывается, в том числе устанавливаемый объем добычи каждого вида охотничьих ресурсов для ведения охоты в целях обеспечения ведения традиционного образа жизни и осуществления традиц</w:t>
      </w:r>
      <w:r>
        <w:rPr>
          <w:sz w:val="28"/>
          <w:szCs w:val="28"/>
        </w:rPr>
        <w:t xml:space="preserve">ионной хозяйственной деятельности (далее – традиционная охота) </w:t>
      </w:r>
      <w:r>
        <w:rPr>
          <w:color w:val="000000"/>
          <w:sz w:val="28"/>
          <w:szCs w:val="28"/>
        </w:rPr>
        <w:t>коренных малочисленных народов Севера, Сибири и Дальнего Востока Российской Федерации и лицами, не относящимися к коренным малочисленным народам, но постоянно проживающим в местах их традиционн</w:t>
      </w:r>
      <w:r>
        <w:rPr>
          <w:color w:val="000000"/>
          <w:sz w:val="28"/>
          <w:szCs w:val="28"/>
        </w:rPr>
        <w:t xml:space="preserve">ого природопользования и </w:t>
      </w:r>
      <w:r>
        <w:rPr>
          <w:color w:val="000000"/>
          <w:sz w:val="28"/>
          <w:szCs w:val="28"/>
        </w:rPr>
        <w:lastRenderedPageBreak/>
        <w:t xml:space="preserve">традиционной хозяйственной деятельности, для которых охота является основой существования (далее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КМНС)</w:t>
      </w:r>
      <w:r>
        <w:rPr>
          <w:sz w:val="28"/>
          <w:szCs w:val="28"/>
        </w:rPr>
        <w:t xml:space="preserve"> в пределах тер</w:t>
      </w:r>
      <w:r>
        <w:rPr>
          <w:sz w:val="28"/>
          <w:szCs w:val="28"/>
        </w:rPr>
        <w:t>риторий традиционного природопользования, образованных в соответствии с Федеральным законом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</w:t>
      </w:r>
      <w:r>
        <w:rPr>
          <w:sz w:val="28"/>
          <w:szCs w:val="28"/>
        </w:rPr>
        <w:t xml:space="preserve">нь </w:t>
      </w:r>
      <w:r>
        <w:rPr>
          <w:sz w:val="28"/>
          <w:szCs w:val="28"/>
        </w:rPr>
        <w:t>мест традиционного проживания и традиционной хозяйственной деятельности коренных малочисленных народов Российской Федерации, утвержден распоряжением Правительства</w:t>
      </w:r>
      <w:r>
        <w:t xml:space="preserve"> </w:t>
      </w:r>
      <w:r>
        <w:rPr>
          <w:sz w:val="28"/>
          <w:szCs w:val="28"/>
        </w:rPr>
        <w:t>Российской Федерации от 08.05.2009 № 631-р</w:t>
      </w:r>
      <w:r>
        <w:t>.</w:t>
      </w:r>
    </w:p>
    <w:p w:rsidR="00AE5359" w:rsidRDefault="001C53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постановлений Правительства Иркут</w:t>
      </w:r>
      <w:r>
        <w:rPr>
          <w:sz w:val="28"/>
          <w:szCs w:val="28"/>
        </w:rPr>
        <w:t xml:space="preserve">ской области от 29.12.2014 № 704-пп, от 26.11.2021 № 899-пп, от 26.07.2022 № 582-пп образованы три </w:t>
      </w:r>
      <w:r>
        <w:rPr>
          <w:sz w:val="28"/>
          <w:szCs w:val="28"/>
        </w:rPr>
        <w:t>территории традиционного природопользования</w:t>
      </w:r>
      <w:r>
        <w:rPr>
          <w:sz w:val="28"/>
          <w:szCs w:val="28"/>
        </w:rPr>
        <w:t xml:space="preserve"> КМНС на территории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Казачинско</w:t>
      </w:r>
      <w:proofErr w:type="spellEnd"/>
      <w:r>
        <w:rPr>
          <w:sz w:val="28"/>
          <w:szCs w:val="28"/>
        </w:rPr>
        <w:t xml:space="preserve">-Ленского и </w:t>
      </w:r>
      <w:proofErr w:type="spellStart"/>
      <w:r>
        <w:rPr>
          <w:sz w:val="28"/>
          <w:szCs w:val="28"/>
        </w:rPr>
        <w:t>Катангского</w:t>
      </w:r>
      <w:proofErr w:type="spellEnd"/>
      <w:r>
        <w:rPr>
          <w:sz w:val="28"/>
          <w:szCs w:val="28"/>
        </w:rPr>
        <w:t xml:space="preserve"> районов общей площадью 6,29 млн. га.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Анализ данных государственного мониторинга охотничьих ресурсов и их среды обитания с учетом нормативов допустимого изъятия охотничьих ресурсов, в отношении которых утверждается лимит добычи охотничьих ресурсов, утвержденными приказом Минприроды России от 2</w:t>
      </w:r>
      <w:r>
        <w:rPr>
          <w:sz w:val="28"/>
          <w:szCs w:val="28"/>
          <w:highlight w:val="white"/>
        </w:rPr>
        <w:t>7.01.2022 № 49, позволил определить следующий лимит изъятия (добычи) копытных и пушных животных, медведя на сезоне охоты 2024-2025 годы в целях осуществления любительской и спортивной охоты, спортивной охоты, а также объем добычи охотничьих ресурсов, устан</w:t>
      </w:r>
      <w:r>
        <w:rPr>
          <w:sz w:val="28"/>
          <w:szCs w:val="28"/>
          <w:highlight w:val="white"/>
        </w:rPr>
        <w:t>овленный для ведения охоты в целях обеспечения ведения традиционной охоты КМНС: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Лось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4 483</w:t>
      </w:r>
      <w:r>
        <w:rPr>
          <w:sz w:val="28"/>
          <w:szCs w:val="28"/>
          <w:highlight w:val="white"/>
        </w:rPr>
        <w:t xml:space="preserve">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Благородный олень (изюбрь)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5 428</w:t>
      </w:r>
      <w:r>
        <w:rPr>
          <w:sz w:val="28"/>
          <w:szCs w:val="28"/>
          <w:highlight w:val="white"/>
        </w:rPr>
        <w:t xml:space="preserve">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Косуля сибирская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10 159</w:t>
      </w:r>
      <w:r>
        <w:rPr>
          <w:sz w:val="28"/>
          <w:szCs w:val="28"/>
          <w:highlight w:val="white"/>
        </w:rPr>
        <w:t xml:space="preserve"> особи.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Дикий северный олень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1 940</w:t>
      </w:r>
      <w:r>
        <w:rPr>
          <w:sz w:val="28"/>
          <w:szCs w:val="28"/>
          <w:highlight w:val="white"/>
        </w:rPr>
        <w:t xml:space="preserve"> особи.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Кабарга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5 950</w:t>
      </w:r>
      <w:r>
        <w:rPr>
          <w:sz w:val="28"/>
          <w:szCs w:val="28"/>
          <w:highlight w:val="white"/>
        </w:rPr>
        <w:t xml:space="preserve"> особей, в том числе </w:t>
      </w:r>
      <w:r>
        <w:rPr>
          <w:color w:val="000000"/>
          <w:sz w:val="28"/>
          <w:szCs w:val="28"/>
        </w:rPr>
        <w:t>4 421</w:t>
      </w:r>
      <w:r>
        <w:rPr>
          <w:sz w:val="28"/>
          <w:szCs w:val="28"/>
          <w:highlight w:val="white"/>
        </w:rPr>
        <w:t xml:space="preserve"> самцов.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Медведь бурый</w:t>
      </w:r>
      <w:r>
        <w:rPr>
          <w:sz w:val="28"/>
          <w:szCs w:val="28"/>
          <w:highlight w:val="white"/>
        </w:rPr>
        <w:t xml:space="preserve"> – лимит изъятия 3 902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Соболь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92 708</w:t>
      </w:r>
      <w:r>
        <w:rPr>
          <w:sz w:val="28"/>
          <w:szCs w:val="28"/>
          <w:highlight w:val="white"/>
        </w:rPr>
        <w:t xml:space="preserve">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u w:val="single"/>
        </w:rPr>
        <w:t>Рысь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193</w:t>
      </w:r>
      <w:r>
        <w:rPr>
          <w:sz w:val="28"/>
          <w:szCs w:val="28"/>
          <w:highlight w:val="white"/>
        </w:rPr>
        <w:t xml:space="preserve"> особи.</w:t>
      </w:r>
    </w:p>
    <w:p w:rsidR="00AE5359" w:rsidRDefault="001C539E">
      <w:pPr>
        <w:shd w:val="clear" w:color="auto" w:fill="FFFFFF"/>
        <w:ind w:firstLine="709"/>
        <w:jc w:val="both"/>
      </w:pPr>
      <w:r>
        <w:rPr>
          <w:sz w:val="28"/>
          <w:szCs w:val="28"/>
          <w:highlight w:val="white"/>
          <w:u w:val="single"/>
        </w:rPr>
        <w:t>Барсук</w:t>
      </w:r>
      <w:r>
        <w:rPr>
          <w:sz w:val="28"/>
          <w:szCs w:val="28"/>
          <w:highlight w:val="white"/>
        </w:rPr>
        <w:t xml:space="preserve"> – лимит изъятия </w:t>
      </w:r>
      <w:r>
        <w:rPr>
          <w:color w:val="000000"/>
          <w:sz w:val="28"/>
          <w:szCs w:val="28"/>
        </w:rPr>
        <w:t>476</w:t>
      </w:r>
      <w:r>
        <w:rPr>
          <w:sz w:val="28"/>
          <w:szCs w:val="28"/>
          <w:highlight w:val="white"/>
        </w:rPr>
        <w:t xml:space="preserve"> особей.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Проект объема д</w:t>
      </w:r>
      <w:r>
        <w:rPr>
          <w:sz w:val="28"/>
          <w:szCs w:val="28"/>
          <w:highlight w:val="white"/>
        </w:rPr>
        <w:t xml:space="preserve">обычи охотничьих ресурсов для КМНС были определены службой с учетом </w:t>
      </w:r>
      <w:proofErr w:type="gramStart"/>
      <w:r>
        <w:rPr>
          <w:sz w:val="28"/>
          <w:szCs w:val="28"/>
          <w:highlight w:val="white"/>
        </w:rPr>
        <w:t>объемов</w:t>
      </w:r>
      <w:proofErr w:type="gramEnd"/>
      <w:r>
        <w:rPr>
          <w:sz w:val="28"/>
          <w:szCs w:val="28"/>
          <w:highlight w:val="white"/>
        </w:rPr>
        <w:t xml:space="preserve"> установленных в предыдущем сезоне охоты, а также предложений поступивших от глав муниципальных районов и с учетом изменения динамики численности охотничьих ресурсов, кроме кабарги.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Вышеуказанные виды охотничьих ресурсов относятся к лимитированным видам охотничьих ресурсов, поэтому изъятие (добыча) осуществляется строго по разрешениям на добычу охотничьих ресурсов.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Таким образом, рассматривая предложения службы п по изъятию вышеуказа</w:t>
      </w:r>
      <w:r>
        <w:rPr>
          <w:sz w:val="28"/>
          <w:szCs w:val="28"/>
          <w:highlight w:val="white"/>
        </w:rPr>
        <w:t xml:space="preserve">нного объема (квот, лимитов) изъятия охотничьих ресурсов на период сезона охоты 2024-2025 годов, данные объемы можно утвердить и </w:t>
      </w:r>
      <w:r>
        <w:rPr>
          <w:sz w:val="28"/>
          <w:szCs w:val="28"/>
          <w:highlight w:val="white"/>
        </w:rPr>
        <w:lastRenderedPageBreak/>
        <w:t>считать, что использование данного лимита не окажет негативного воздействия на окружающую среду в Иркутской области.</w:t>
      </w:r>
    </w:p>
    <w:p w:rsidR="00AE5359" w:rsidRDefault="001C539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казания</w:t>
      </w:r>
      <w:r>
        <w:rPr>
          <w:color w:val="000000" w:themeColor="text1"/>
          <w:sz w:val="28"/>
          <w:szCs w:val="28"/>
        </w:rPr>
        <w:t xml:space="preserve"> государственно</w:t>
      </w:r>
      <w:r>
        <w:rPr>
          <w:sz w:val="28"/>
          <w:szCs w:val="28"/>
        </w:rPr>
        <w:t xml:space="preserve">й услуги по выдаче </w:t>
      </w:r>
      <w:r>
        <w:rPr>
          <w:sz w:val="28"/>
        </w:rPr>
        <w:t>разрешений на добычу охотничьих ресурсов</w:t>
      </w:r>
      <w:r>
        <w:rPr>
          <w:sz w:val="28"/>
          <w:szCs w:val="28"/>
        </w:rPr>
        <w:t xml:space="preserve"> рассмотрено 13 370 заявлений охотников на выдачу разрешений на добычу охотничьих ресурсов в общедоступны</w:t>
      </w:r>
      <w:r>
        <w:rPr>
          <w:color w:val="000000" w:themeColor="text1"/>
          <w:sz w:val="28"/>
          <w:szCs w:val="28"/>
        </w:rPr>
        <w:t>х охотничьих угодьях Иркутской области. Охотникам выдано 18 752 разреш</w:t>
      </w:r>
      <w:r>
        <w:rPr>
          <w:color w:val="000000" w:themeColor="text1"/>
          <w:sz w:val="28"/>
          <w:szCs w:val="28"/>
        </w:rPr>
        <w:t xml:space="preserve">ения на добычу охотничьих ресурсов для производства охоты в общедоступных </w:t>
      </w:r>
      <w:r>
        <w:rPr>
          <w:sz w:val="28"/>
          <w:szCs w:val="28"/>
        </w:rPr>
        <w:t xml:space="preserve">охотничьих угодьях Иркутской области, направлено более 3 тыс. письменных мотивированных отказов в выдаче разрешений на добычу охотничьих ресурсов. </w:t>
      </w:r>
    </w:p>
    <w:p w:rsidR="00AE5359" w:rsidRDefault="001C539E">
      <w:pPr>
        <w:ind w:firstLine="709"/>
        <w:jc w:val="both"/>
      </w:pPr>
      <w:r>
        <w:rPr>
          <w:sz w:val="28"/>
          <w:szCs w:val="28"/>
        </w:rPr>
        <w:t>В 2023 году службой налажен функци</w:t>
      </w:r>
      <w:r>
        <w:rPr>
          <w:sz w:val="28"/>
          <w:szCs w:val="28"/>
        </w:rPr>
        <w:t>онал по возможности оплаты заявителями государственной пошлины за выдачу разрешений через Единый портал государственных услуг.</w:t>
      </w:r>
    </w:p>
    <w:p w:rsidR="00AE5359" w:rsidRDefault="001C53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выдачи разрешений на добычу охотничьих ресурсов в областной бюджет перечислено более 31 млн рублей от сборов за по</w:t>
      </w:r>
      <w:r>
        <w:rPr>
          <w:color w:val="000000" w:themeColor="text1"/>
          <w:sz w:val="28"/>
          <w:szCs w:val="28"/>
        </w:rPr>
        <w:t xml:space="preserve">льзование объектами животного мира. 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color w:val="000000" w:themeColor="text1"/>
          <w:sz w:val="28"/>
          <w:szCs w:val="28"/>
        </w:rPr>
        <w:t>В федеральный бюджет направлено более 12 млн рублей в виде государственной пошлины за выдачу разрешений на добычу охотничьих ресурсов.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случае не установления лимита добычи охотничьих ресурсов бюджеты различного уровня</w:t>
      </w:r>
      <w:r>
        <w:rPr>
          <w:sz w:val="28"/>
          <w:szCs w:val="28"/>
          <w:highlight w:val="white"/>
        </w:rPr>
        <w:t xml:space="preserve"> не дополучит финансовые средства в виде налогов и сборов за пользование объектами животного мира. Юридические лица и индивидуальные предприниматели (</w:t>
      </w:r>
      <w:proofErr w:type="spellStart"/>
      <w:r>
        <w:rPr>
          <w:sz w:val="28"/>
          <w:szCs w:val="28"/>
          <w:highlight w:val="white"/>
        </w:rPr>
        <w:t>охотпользователи</w:t>
      </w:r>
      <w:proofErr w:type="spellEnd"/>
      <w:r>
        <w:rPr>
          <w:sz w:val="28"/>
          <w:szCs w:val="28"/>
          <w:highlight w:val="white"/>
        </w:rPr>
        <w:t>) не получат денежные средства для ведения охотничьего хозяйства, осуществления охраны охо</w:t>
      </w:r>
      <w:r>
        <w:rPr>
          <w:sz w:val="28"/>
          <w:szCs w:val="28"/>
          <w:highlight w:val="white"/>
        </w:rPr>
        <w:t xml:space="preserve">тничьих угодий, регулирования численности волка, проведения биотехнических и противоэпизоотических мероприятий, что отрицательно скажется на численности и состоянии популяций охотничьих ресурсов на территории Иркутской области. </w:t>
      </w:r>
    </w:p>
    <w:p w:rsidR="00AE5359" w:rsidRDefault="001C539E">
      <w:pPr>
        <w:shd w:val="clear" w:color="auto" w:fill="FFFFFF"/>
        <w:tabs>
          <w:tab w:val="left" w:pos="5518"/>
        </w:tabs>
        <w:ind w:firstLine="709"/>
        <w:jc w:val="both"/>
        <w:rPr>
          <w:sz w:val="28"/>
          <w:szCs w:val="28"/>
        </w:rPr>
      </w:pPr>
      <w:r>
        <w:rPr>
          <w:highlight w:val="white"/>
        </w:rPr>
        <w:tab/>
      </w:r>
      <w:r>
        <w:rPr>
          <w:sz w:val="28"/>
          <w:szCs w:val="28"/>
          <w:highlight w:val="white"/>
        </w:rPr>
        <w:tab/>
      </w:r>
    </w:p>
    <w:p w:rsidR="00AE5359" w:rsidRDefault="001C539E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Заключение</w:t>
      </w:r>
    </w:p>
    <w:p w:rsidR="00AE5359" w:rsidRDefault="00AE5359">
      <w:pPr>
        <w:shd w:val="clear" w:color="auto" w:fill="FFFFFF"/>
        <w:ind w:firstLine="709"/>
        <w:jc w:val="both"/>
        <w:rPr>
          <w:highlight w:val="white"/>
        </w:rPr>
      </w:pP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Согласно зак</w:t>
      </w:r>
      <w:r>
        <w:rPr>
          <w:sz w:val="28"/>
          <w:szCs w:val="28"/>
          <w:highlight w:val="white"/>
        </w:rPr>
        <w:t xml:space="preserve">онодательству </w:t>
      </w:r>
      <w:proofErr w:type="gramStart"/>
      <w:r>
        <w:rPr>
          <w:sz w:val="28"/>
          <w:szCs w:val="28"/>
          <w:highlight w:val="white"/>
        </w:rPr>
        <w:t>Российской Федерации</w:t>
      </w:r>
      <w:proofErr w:type="gramEnd"/>
      <w:r>
        <w:rPr>
          <w:sz w:val="28"/>
          <w:szCs w:val="28"/>
          <w:highlight w:val="white"/>
        </w:rPr>
        <w:t xml:space="preserve"> в области охоты и сохранения охотничьих ресурсов пользование охотничьими ресурсами в Иркутской области осуществляют </w:t>
      </w:r>
      <w:proofErr w:type="spellStart"/>
      <w:r>
        <w:rPr>
          <w:sz w:val="28"/>
          <w:szCs w:val="28"/>
          <w:highlight w:val="white"/>
        </w:rPr>
        <w:t>охотпользователи</w:t>
      </w:r>
      <w:proofErr w:type="spellEnd"/>
      <w:r>
        <w:rPr>
          <w:sz w:val="28"/>
          <w:szCs w:val="28"/>
          <w:highlight w:val="white"/>
        </w:rPr>
        <w:t xml:space="preserve">. В обязательствах </w:t>
      </w:r>
      <w:proofErr w:type="spellStart"/>
      <w:r>
        <w:rPr>
          <w:sz w:val="28"/>
          <w:szCs w:val="28"/>
          <w:highlight w:val="white"/>
        </w:rPr>
        <w:t>охотпользователей</w:t>
      </w:r>
      <w:proofErr w:type="spellEnd"/>
      <w:r>
        <w:rPr>
          <w:sz w:val="28"/>
          <w:szCs w:val="28"/>
          <w:highlight w:val="white"/>
        </w:rPr>
        <w:t xml:space="preserve"> включены ежегодное проведение учетов численности охо</w:t>
      </w:r>
      <w:r>
        <w:rPr>
          <w:sz w:val="28"/>
          <w:szCs w:val="28"/>
          <w:highlight w:val="white"/>
        </w:rPr>
        <w:t>тничьих ресурсов и среды их обитания, охранные, биотехнические и воспроизводственные мероприятия, работы по созданию и содержанию объектов охотничьей инфраструктуры, по регулированию численности охотничьих ресурсов, создающих угрозу жизни и имуществу насел</w:t>
      </w:r>
      <w:r>
        <w:rPr>
          <w:sz w:val="28"/>
          <w:szCs w:val="28"/>
          <w:highlight w:val="white"/>
        </w:rPr>
        <w:t xml:space="preserve">ения (волк, лисица, медведь бурый). 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Все эти мероприятия, которые должны выполняться в соответствии с требованиями, нормативами, сроками обеспечивают сохранение популяций копытных и пушных животных на территории общедоступных и закрепленных охотничьих угодий.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Учитывая, что в настоящее время б</w:t>
      </w:r>
      <w:r>
        <w:rPr>
          <w:sz w:val="28"/>
          <w:szCs w:val="28"/>
          <w:highlight w:val="white"/>
        </w:rPr>
        <w:t xml:space="preserve">олее 70% территории охотничьих угодий Иркутской области закреплено за 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>, объемы проведения этих работ способствуют компенсации потерь, наносимых популяциям копытных и пушных животных антропогенной хозяйственной деятельностью человека, их н</w:t>
      </w:r>
      <w:r>
        <w:rPr>
          <w:sz w:val="28"/>
          <w:szCs w:val="28"/>
          <w:highlight w:val="white"/>
        </w:rPr>
        <w:t>езаконной добычей и воздействием хищных диких животных.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Государственный контроль (надзор) за исполнением 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 xml:space="preserve"> требований пользования охотничьими ресурсами осуществляется службой как специально уполномоченным государственным органом по охране,</w:t>
      </w:r>
      <w:r>
        <w:rPr>
          <w:sz w:val="28"/>
          <w:szCs w:val="28"/>
          <w:highlight w:val="white"/>
        </w:rPr>
        <w:t xml:space="preserve"> контролю и регулированию использования охотничьих ресурсов и среды их обитания на территории Иркутской области.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В связи с вышеизложенным, основным результатом деятельности, проводимой </w:t>
      </w:r>
      <w:proofErr w:type="spellStart"/>
      <w:r>
        <w:rPr>
          <w:sz w:val="28"/>
          <w:szCs w:val="28"/>
          <w:highlight w:val="white"/>
        </w:rPr>
        <w:t>охотпользователями</w:t>
      </w:r>
      <w:proofErr w:type="spellEnd"/>
      <w:r>
        <w:rPr>
          <w:sz w:val="28"/>
          <w:szCs w:val="28"/>
          <w:highlight w:val="white"/>
        </w:rPr>
        <w:t xml:space="preserve">, при условии выполнения требований законодательства </w:t>
      </w:r>
      <w:r>
        <w:rPr>
          <w:sz w:val="28"/>
          <w:szCs w:val="28"/>
          <w:highlight w:val="white"/>
        </w:rPr>
        <w:t>Российской Федерации в области охоты и сохранения охотничьих ресурсов, является повышение хозяйственно-возможного изъятия объектов охоты, учитывая состояние популяций охотничьих ресурсов и среды их обитания.</w:t>
      </w:r>
    </w:p>
    <w:p w:rsidR="00AE5359" w:rsidRDefault="001C539E">
      <w:pPr>
        <w:shd w:val="clear" w:color="auto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Таким образом, проводя оценку воздействия на окр</w:t>
      </w:r>
      <w:r>
        <w:rPr>
          <w:sz w:val="28"/>
          <w:szCs w:val="28"/>
          <w:highlight w:val="white"/>
        </w:rPr>
        <w:t>ужающую среду при освоении объемов (квот, лимитов) изъятия охотничьих ресурсов в период 1 августа 2023 года по 1 августа 2024 года, предлагаемых к установлению в отношении изъятия лося, благородного оленя (изюбря), дикого северного оленя, косули сибирской,</w:t>
      </w:r>
      <w:r>
        <w:rPr>
          <w:sz w:val="28"/>
          <w:szCs w:val="28"/>
          <w:highlight w:val="white"/>
        </w:rPr>
        <w:t xml:space="preserve"> кабарги, бурого медведя, соболя, барсука, рыси в пределах лимита предлагаемого к установлению на территории региона в сезон охоты 2024-2025 годов не окажет негативного воздействия на окружающую среду.</w:t>
      </w:r>
    </w:p>
    <w:p w:rsidR="00AE5359" w:rsidRDefault="00AE5359">
      <w:pPr>
        <w:shd w:val="clear" w:color="auto" w:fill="FFFFFF"/>
        <w:ind w:firstLine="900"/>
        <w:jc w:val="both"/>
        <w:rPr>
          <w:highlight w:val="white"/>
        </w:rPr>
      </w:pPr>
    </w:p>
    <w:p w:rsidR="00AE5359" w:rsidRDefault="00AE5359">
      <w:pPr>
        <w:shd w:val="clear" w:color="auto" w:fill="FFFFFF"/>
        <w:ind w:firstLine="900"/>
        <w:jc w:val="both"/>
        <w:rPr>
          <w:highlight w:val="white"/>
        </w:rPr>
      </w:pPr>
    </w:p>
    <w:p w:rsidR="00AE5359" w:rsidRDefault="00AE5359">
      <w:pPr>
        <w:shd w:val="clear" w:color="auto" w:fill="FFFFFF"/>
        <w:jc w:val="both"/>
        <w:rPr>
          <w:highlight w:val="white"/>
        </w:rPr>
        <w:sectPr w:rsidR="00AE535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5359" w:rsidRDefault="001C539E">
      <w:pPr>
        <w:shd w:val="clear" w:color="auto" w:fill="FFFFFF"/>
        <w:jc w:val="right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ПРИЛОЖЕНИЕ</w:t>
      </w:r>
    </w:p>
    <w:p w:rsidR="00AE5359" w:rsidRDefault="00AE5359">
      <w:pPr>
        <w:shd w:val="clear" w:color="auto" w:fill="FFFFFF"/>
        <w:jc w:val="right"/>
        <w:rPr>
          <w:highlight w:val="white"/>
        </w:rPr>
      </w:pPr>
    </w:p>
    <w:p w:rsidR="00AE5359" w:rsidRDefault="00AE5359">
      <w:pPr>
        <w:shd w:val="clear" w:color="auto" w:fill="FFFFFF"/>
        <w:jc w:val="right"/>
        <w:rPr>
          <w:highlight w:val="white"/>
        </w:rPr>
      </w:pPr>
    </w:p>
    <w:p w:rsidR="00AE5359" w:rsidRDefault="001C539E">
      <w:pPr>
        <w:shd w:val="clear" w:color="auto" w:fill="FFFFFF"/>
        <w:jc w:val="right"/>
        <w:rPr>
          <w:highlight w:val="white"/>
        </w:rPr>
      </w:pPr>
      <w:r>
        <w:rPr>
          <w:sz w:val="28"/>
          <w:szCs w:val="28"/>
          <w:highlight w:val="white"/>
        </w:rPr>
        <w:t>Таблица 1</w:t>
      </w:r>
    </w:p>
    <w:p w:rsidR="00AE5359" w:rsidRDefault="00AE5359">
      <w:pPr>
        <w:shd w:val="clear" w:color="auto" w:fill="FFFFFF"/>
        <w:jc w:val="right"/>
        <w:rPr>
          <w:highlight w:val="white"/>
        </w:rPr>
      </w:pPr>
    </w:p>
    <w:p w:rsidR="00AE5359" w:rsidRDefault="001C539E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Динамика </w:t>
      </w:r>
      <w:proofErr w:type="spellStart"/>
      <w:r>
        <w:rPr>
          <w:sz w:val="28"/>
          <w:szCs w:val="28"/>
          <w:highlight w:val="white"/>
        </w:rPr>
        <w:t>послепромысловой</w:t>
      </w:r>
      <w:proofErr w:type="spellEnd"/>
      <w:r>
        <w:rPr>
          <w:sz w:val="28"/>
          <w:szCs w:val="28"/>
          <w:highlight w:val="white"/>
        </w:rPr>
        <w:t xml:space="preserve"> численности копытных животных на территории Иркутской области </w:t>
      </w:r>
    </w:p>
    <w:p w:rsidR="00AE5359" w:rsidRDefault="001C539E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(по данным материалов ЗМУ, без учета ООПТ) за 2010-2024 гг., тыс. особей</w:t>
      </w:r>
    </w:p>
    <w:p w:rsidR="00AE5359" w:rsidRDefault="00AE5359">
      <w:pPr>
        <w:shd w:val="clear" w:color="auto" w:fill="FFFFFF"/>
        <w:jc w:val="center"/>
        <w:rPr>
          <w:sz w:val="28"/>
          <w:szCs w:val="28"/>
          <w:highlight w:val="white"/>
        </w:rPr>
      </w:pPr>
    </w:p>
    <w:tbl>
      <w:tblPr>
        <w:tblW w:w="14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AE5359">
        <w:trPr>
          <w:trHeight w:val="301"/>
          <w:jc w:val="center"/>
        </w:trPr>
        <w:tc>
          <w:tcPr>
            <w:tcW w:w="3126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Виды охотничьих ресурсов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2010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2011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en-US"/>
              </w:rPr>
              <w:t>2012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en-US"/>
              </w:rPr>
              <w:t>201</w:t>
            </w: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2014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2016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2019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2024</w:t>
            </w:r>
          </w:p>
        </w:tc>
      </w:tr>
      <w:tr w:rsidR="00AE5359">
        <w:trPr>
          <w:trHeight w:val="206"/>
          <w:jc w:val="center"/>
        </w:trPr>
        <w:tc>
          <w:tcPr>
            <w:tcW w:w="3126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Лось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42,3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37,7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41,4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52,9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50,9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55,0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60,2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63,8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64,7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66,7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76,9</w:t>
            </w:r>
          </w:p>
        </w:tc>
        <w:tc>
          <w:tcPr>
            <w:tcW w:w="752" w:type="dxa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AE5359">
        <w:trPr>
          <w:trHeight w:val="56"/>
          <w:jc w:val="center"/>
        </w:trPr>
        <w:tc>
          <w:tcPr>
            <w:tcW w:w="3126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Благородный олень (изюбрь)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31,7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31,5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45,2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36,9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44,3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48,4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56,6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61,9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64,7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69,5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71,4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78,9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77,3</w:t>
            </w:r>
          </w:p>
        </w:tc>
        <w:tc>
          <w:tcPr>
            <w:tcW w:w="752" w:type="dxa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AE5359">
        <w:trPr>
          <w:jc w:val="center"/>
        </w:trPr>
        <w:tc>
          <w:tcPr>
            <w:tcW w:w="3126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Косуля сибирская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48,4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43,5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46,3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55,3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66,5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65,7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66,5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74,6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79,3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92,4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96,1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101,3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102,2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104,2</w:t>
            </w:r>
          </w:p>
        </w:tc>
        <w:tc>
          <w:tcPr>
            <w:tcW w:w="752" w:type="dxa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AE5359">
        <w:trPr>
          <w:trHeight w:val="45"/>
          <w:jc w:val="center"/>
        </w:trPr>
        <w:tc>
          <w:tcPr>
            <w:tcW w:w="3126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Дикий северный олень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23,5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27,1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25,2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23,1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29,5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25,6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27,8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28,8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31,2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30,9</w:t>
            </w:r>
          </w:p>
        </w:tc>
        <w:tc>
          <w:tcPr>
            <w:tcW w:w="752" w:type="dxa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AE5359">
        <w:trPr>
          <w:jc w:val="center"/>
        </w:trPr>
        <w:tc>
          <w:tcPr>
            <w:tcW w:w="3126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Кабарга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38,1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34,8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40,5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45,1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64,2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87,2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113,4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105,0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113,1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117,0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135,3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143,7</w:t>
            </w:r>
          </w:p>
        </w:tc>
        <w:tc>
          <w:tcPr>
            <w:tcW w:w="752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133,5</w:t>
            </w:r>
          </w:p>
        </w:tc>
        <w:tc>
          <w:tcPr>
            <w:tcW w:w="752" w:type="dxa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</w:tbl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1C539E">
      <w:pPr>
        <w:shd w:val="clear" w:color="auto" w:fill="FFFFFF"/>
        <w:jc w:val="right"/>
        <w:rPr>
          <w:highlight w:val="white"/>
        </w:rPr>
      </w:pPr>
      <w:r>
        <w:rPr>
          <w:sz w:val="28"/>
          <w:szCs w:val="28"/>
          <w:highlight w:val="white"/>
        </w:rPr>
        <w:t>Таблица 2</w:t>
      </w:r>
    </w:p>
    <w:p w:rsidR="00AE5359" w:rsidRDefault="00AE5359">
      <w:pPr>
        <w:shd w:val="clear" w:color="auto" w:fill="FFFFFF"/>
        <w:jc w:val="both"/>
        <w:rPr>
          <w:highlight w:val="white"/>
        </w:rPr>
      </w:pPr>
    </w:p>
    <w:p w:rsidR="00AE5359" w:rsidRDefault="001C539E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Динамика </w:t>
      </w:r>
      <w:proofErr w:type="spellStart"/>
      <w:r>
        <w:rPr>
          <w:sz w:val="28"/>
          <w:szCs w:val="28"/>
          <w:highlight w:val="white"/>
        </w:rPr>
        <w:t>послепромысловой</w:t>
      </w:r>
      <w:proofErr w:type="spellEnd"/>
      <w:r>
        <w:rPr>
          <w:sz w:val="28"/>
          <w:szCs w:val="28"/>
          <w:highlight w:val="white"/>
        </w:rPr>
        <w:t xml:space="preserve"> численности пушных животных и медведя на территории Иркутской области </w:t>
      </w:r>
    </w:p>
    <w:p w:rsidR="00AE5359" w:rsidRDefault="001C539E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(по данным материалов ЗМУ и специальных учетов, без учета ООПТ) за 2010-2024 гг.</w:t>
      </w:r>
      <w:r>
        <w:rPr>
          <w:sz w:val="28"/>
          <w:szCs w:val="28"/>
          <w:highlight w:val="white"/>
        </w:rPr>
        <w:t>, тыс. особей</w:t>
      </w:r>
    </w:p>
    <w:p w:rsidR="00AE5359" w:rsidRDefault="00AE5359">
      <w:pPr>
        <w:shd w:val="clear" w:color="auto" w:fill="FFFFFF"/>
        <w:jc w:val="center"/>
        <w:rPr>
          <w:sz w:val="28"/>
          <w:szCs w:val="28"/>
          <w:highlight w:val="white"/>
        </w:rPr>
      </w:pPr>
    </w:p>
    <w:tbl>
      <w:tblPr>
        <w:tblW w:w="14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755"/>
        <w:gridCol w:w="755"/>
        <w:gridCol w:w="756"/>
        <w:gridCol w:w="755"/>
        <w:gridCol w:w="756"/>
        <w:gridCol w:w="755"/>
        <w:gridCol w:w="756"/>
        <w:gridCol w:w="755"/>
        <w:gridCol w:w="756"/>
        <w:gridCol w:w="755"/>
        <w:gridCol w:w="756"/>
        <w:gridCol w:w="755"/>
        <w:gridCol w:w="756"/>
        <w:gridCol w:w="755"/>
        <w:gridCol w:w="756"/>
      </w:tblGrid>
      <w:tr w:rsidR="00AE5359">
        <w:trPr>
          <w:trHeight w:val="56"/>
          <w:jc w:val="center"/>
        </w:trPr>
        <w:tc>
          <w:tcPr>
            <w:tcW w:w="3001" w:type="dxa"/>
            <w:vAlign w:val="center"/>
          </w:tcPr>
          <w:p w:rsidR="00AE5359" w:rsidRDefault="001C539E">
            <w:pPr>
              <w:shd w:val="clear" w:color="auto" w:fill="FFFFFF"/>
              <w:ind w:left="-85" w:right="-85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Виды охотничьих ресурсов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2010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2011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2012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2013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2014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2015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2016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2017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2018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2019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2021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2022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2023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2024</w:t>
            </w:r>
          </w:p>
        </w:tc>
      </w:tr>
      <w:tr w:rsidR="00AE5359">
        <w:trPr>
          <w:trHeight w:val="26"/>
          <w:jc w:val="center"/>
        </w:trPr>
        <w:tc>
          <w:tcPr>
            <w:tcW w:w="300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Соболь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162,3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162,4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152,2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197,2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171,8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177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195,4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220,5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223,6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225,5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225,2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225,5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264,2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266,7</w:t>
            </w:r>
          </w:p>
        </w:tc>
        <w:tc>
          <w:tcPr>
            <w:tcW w:w="756" w:type="dxa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271,9</w:t>
            </w:r>
          </w:p>
        </w:tc>
      </w:tr>
      <w:tr w:rsidR="00AE5359">
        <w:trPr>
          <w:trHeight w:val="291"/>
          <w:jc w:val="center"/>
        </w:trPr>
        <w:tc>
          <w:tcPr>
            <w:tcW w:w="300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Рысь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1,8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1,8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1,5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1,6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1,9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2,0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2,0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2,4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2,6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756" w:type="dxa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AE5359">
        <w:trPr>
          <w:jc w:val="center"/>
        </w:trPr>
        <w:tc>
          <w:tcPr>
            <w:tcW w:w="300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Барсук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3,1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2,8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2,1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3,2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2,6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2,5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4,2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5,1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7,5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7,6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11,4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13,8</w:t>
            </w:r>
          </w:p>
        </w:tc>
        <w:tc>
          <w:tcPr>
            <w:tcW w:w="756" w:type="dxa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AE5359">
        <w:trPr>
          <w:trHeight w:val="87"/>
          <w:jc w:val="center"/>
        </w:trPr>
        <w:tc>
          <w:tcPr>
            <w:tcW w:w="300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Медведь бурый 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12,2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12,3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13,1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12,9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12,4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13,1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16,6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16,5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18,0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18,8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20,5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21,4</w:t>
            </w:r>
          </w:p>
        </w:tc>
        <w:tc>
          <w:tcPr>
            <w:tcW w:w="756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21,9</w:t>
            </w:r>
          </w:p>
        </w:tc>
        <w:tc>
          <w:tcPr>
            <w:tcW w:w="755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22,1</w:t>
            </w:r>
          </w:p>
        </w:tc>
        <w:tc>
          <w:tcPr>
            <w:tcW w:w="756" w:type="dxa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</w:tbl>
    <w:p w:rsidR="00AE5359" w:rsidRDefault="00AE5359">
      <w:pPr>
        <w:shd w:val="clear" w:color="auto" w:fill="FFFFFF"/>
        <w:jc w:val="right"/>
        <w:rPr>
          <w:highlight w:val="white"/>
        </w:rPr>
      </w:pPr>
    </w:p>
    <w:p w:rsidR="00AE5359" w:rsidRDefault="00AE5359">
      <w:pPr>
        <w:shd w:val="clear" w:color="auto" w:fill="FFFFFF"/>
        <w:jc w:val="right"/>
        <w:rPr>
          <w:sz w:val="28"/>
          <w:szCs w:val="28"/>
        </w:rPr>
      </w:pPr>
    </w:p>
    <w:p w:rsidR="00AE5359" w:rsidRDefault="00AE5359">
      <w:pPr>
        <w:shd w:val="clear" w:color="auto" w:fill="FFFFFF"/>
        <w:jc w:val="right"/>
        <w:rPr>
          <w:sz w:val="28"/>
          <w:szCs w:val="28"/>
        </w:rPr>
      </w:pPr>
    </w:p>
    <w:p w:rsidR="00AE5359" w:rsidRDefault="00AE5359">
      <w:pPr>
        <w:shd w:val="clear" w:color="auto" w:fill="FFFFFF"/>
        <w:jc w:val="right"/>
        <w:rPr>
          <w:sz w:val="28"/>
          <w:szCs w:val="28"/>
        </w:rPr>
      </w:pPr>
    </w:p>
    <w:p w:rsidR="00AE5359" w:rsidRDefault="00AE5359">
      <w:pPr>
        <w:shd w:val="clear" w:color="auto" w:fill="FFFFFF"/>
        <w:jc w:val="right"/>
        <w:rPr>
          <w:sz w:val="28"/>
          <w:szCs w:val="28"/>
        </w:rPr>
      </w:pPr>
    </w:p>
    <w:p w:rsidR="00AE5359" w:rsidRDefault="001C539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Таблица 3</w:t>
      </w:r>
    </w:p>
    <w:p w:rsidR="00AE5359" w:rsidRDefault="00AE5359">
      <w:pPr>
        <w:shd w:val="clear" w:color="auto" w:fill="FFFFFF"/>
        <w:jc w:val="right"/>
        <w:rPr>
          <w:sz w:val="28"/>
          <w:szCs w:val="28"/>
          <w:highlight w:val="white"/>
        </w:rPr>
      </w:pPr>
    </w:p>
    <w:p w:rsidR="00AE5359" w:rsidRDefault="001C539E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Расчет допустимого освоения объемов (лимитов, </w:t>
      </w:r>
      <w:r>
        <w:rPr>
          <w:sz w:val="28"/>
          <w:szCs w:val="28"/>
          <w:highlight w:val="white"/>
        </w:rPr>
        <w:t xml:space="preserve">квот) изъятия охотничьих ресурсов на предстоящий сезон охоты </w:t>
      </w:r>
      <w:r>
        <w:rPr>
          <w:sz w:val="28"/>
          <w:szCs w:val="28"/>
          <w:highlight w:val="white"/>
        </w:rPr>
        <w:br/>
        <w:t>2024-2025 гг. на территории Иркутской области (хозяйственно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используемая часть популяции)</w:t>
      </w:r>
    </w:p>
    <w:p w:rsidR="00AE5359" w:rsidRDefault="00AE5359">
      <w:pPr>
        <w:shd w:val="clear" w:color="auto" w:fill="FFFFFF"/>
        <w:jc w:val="center"/>
        <w:rPr>
          <w:sz w:val="28"/>
          <w:szCs w:val="28"/>
          <w:highlight w:val="whit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25"/>
        <w:gridCol w:w="2025"/>
        <w:gridCol w:w="2025"/>
        <w:gridCol w:w="2025"/>
        <w:gridCol w:w="2025"/>
        <w:gridCol w:w="2025"/>
        <w:gridCol w:w="2025"/>
      </w:tblGrid>
      <w:tr w:rsidR="00AE5359">
        <w:trPr>
          <w:trHeight w:val="752"/>
        </w:trPr>
        <w:tc>
          <w:tcPr>
            <w:tcW w:w="675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2025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ind w:left="-85" w:right="-85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Виды охотничьих ресурсов</w:t>
            </w:r>
          </w:p>
        </w:tc>
        <w:tc>
          <w:tcPr>
            <w:tcW w:w="2025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Послепромысловая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численность, </w:t>
            </w:r>
          </w:p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2025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Норма прироста,</w:t>
            </w:r>
          </w:p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%</w:t>
            </w:r>
          </w:p>
        </w:tc>
        <w:tc>
          <w:tcPr>
            <w:tcW w:w="2025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Расчетная </w:t>
            </w:r>
            <w:proofErr w:type="spellStart"/>
            <w:r>
              <w:rPr>
                <w:sz w:val="24"/>
                <w:szCs w:val="24"/>
                <w:highlight w:val="white"/>
              </w:rPr>
              <w:t>предп</w:t>
            </w:r>
            <w:r>
              <w:rPr>
                <w:sz w:val="24"/>
                <w:szCs w:val="24"/>
                <w:highlight w:val="white"/>
              </w:rPr>
              <w:t>ромысловая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численность, </w:t>
            </w:r>
          </w:p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2025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Норма добычи от </w:t>
            </w:r>
            <w:proofErr w:type="spellStart"/>
            <w:r>
              <w:rPr>
                <w:sz w:val="24"/>
                <w:szCs w:val="24"/>
                <w:highlight w:val="white"/>
              </w:rPr>
              <w:t>послепромысловой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численности,</w:t>
            </w:r>
          </w:p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%</w:t>
            </w:r>
          </w:p>
        </w:tc>
        <w:tc>
          <w:tcPr>
            <w:tcW w:w="2025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Предельно допустимая добыча,</w:t>
            </w:r>
          </w:p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2025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Планируемый лимит, в т.ч. для КМНС, </w:t>
            </w:r>
          </w:p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</w:tr>
      <w:tr w:rsidR="00AE5359">
        <w:tc>
          <w:tcPr>
            <w:tcW w:w="67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Лось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76 917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93 069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 5 до 15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5 510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4 483</w:t>
            </w:r>
          </w:p>
        </w:tc>
      </w:tr>
      <w:tr w:rsidR="00AE5359">
        <w:tc>
          <w:tcPr>
            <w:tcW w:w="67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Благородный олень (изюбрь)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77 265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92 718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 5 до 30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6 337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5 428</w:t>
            </w:r>
          </w:p>
        </w:tc>
      </w:tr>
      <w:tr w:rsidR="00AE5359">
        <w:trPr>
          <w:trHeight w:val="2"/>
        </w:trPr>
        <w:tc>
          <w:tcPr>
            <w:tcW w:w="67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Косуля сибирская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104 163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18,5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123 433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 5 до 30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15 960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10 159</w:t>
            </w:r>
          </w:p>
        </w:tc>
      </w:tr>
      <w:tr w:rsidR="00AE5359">
        <w:trPr>
          <w:trHeight w:val="357"/>
        </w:trPr>
        <w:tc>
          <w:tcPr>
            <w:tcW w:w="67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Дикий северный олень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30 889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39 229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15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3 812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1 940</w:t>
            </w:r>
          </w:p>
        </w:tc>
      </w:tr>
      <w:tr w:rsidR="00AE5359">
        <w:trPr>
          <w:trHeight w:val="12"/>
        </w:trPr>
        <w:tc>
          <w:tcPr>
            <w:tcW w:w="67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Кабарга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133 503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173 553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5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6 329</w:t>
            </w:r>
          </w:p>
          <w:p w:rsidR="00AE5359" w:rsidRDefault="001C539E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(в т.ч. самцов</w:t>
            </w:r>
          </w:p>
          <w:p w:rsidR="00AE5359" w:rsidRDefault="001C539E">
            <w:pPr>
              <w:ind w:left="-113" w:right="-113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4 746)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5 950</w:t>
            </w:r>
          </w:p>
          <w:p w:rsidR="00AE5359" w:rsidRDefault="001C539E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(в т.ч. самцов</w:t>
            </w:r>
          </w:p>
          <w:p w:rsidR="00AE5359" w:rsidRDefault="001C539E">
            <w:pPr>
              <w:ind w:left="-113" w:right="-113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4 421</w:t>
            </w:r>
            <w:r>
              <w:rPr>
                <w:color w:val="000000"/>
                <w:sz w:val="24"/>
                <w:szCs w:val="24"/>
                <w:highlight w:val="white"/>
              </w:rPr>
              <w:t>)</w:t>
            </w:r>
          </w:p>
        </w:tc>
      </w:tr>
      <w:tr w:rsidR="00AE5359">
        <w:trPr>
          <w:trHeight w:val="250"/>
        </w:trPr>
        <w:tc>
          <w:tcPr>
            <w:tcW w:w="67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Медведь бурый 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22 140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29 446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30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6 327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3 902</w:t>
            </w:r>
          </w:p>
        </w:tc>
      </w:tr>
      <w:tr w:rsidR="00AE5359">
        <w:tc>
          <w:tcPr>
            <w:tcW w:w="67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Соболь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266 731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405 431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35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95 060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92 708</w:t>
            </w:r>
          </w:p>
        </w:tc>
      </w:tr>
      <w:tr w:rsidR="00AE5359">
        <w:tc>
          <w:tcPr>
            <w:tcW w:w="67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Рысь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2 921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4 641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10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234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</w:tr>
      <w:tr w:rsidR="00AE5359">
        <w:tc>
          <w:tcPr>
            <w:tcW w:w="67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Барсук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13 842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19 378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до 10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1 036</w:t>
            </w:r>
          </w:p>
        </w:tc>
        <w:tc>
          <w:tcPr>
            <w:tcW w:w="2025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476</w:t>
            </w:r>
          </w:p>
        </w:tc>
      </w:tr>
    </w:tbl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AE5359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AE5359" w:rsidRDefault="001C539E">
      <w:pPr>
        <w:shd w:val="clear" w:color="auto" w:fill="FFFFFF"/>
        <w:jc w:val="right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>Таблица 4</w:t>
      </w:r>
    </w:p>
    <w:p w:rsidR="00AE5359" w:rsidRDefault="00AE5359">
      <w:pPr>
        <w:shd w:val="clear" w:color="auto" w:fill="FFFFFF"/>
        <w:jc w:val="both"/>
        <w:rPr>
          <w:highlight w:val="white"/>
        </w:rPr>
      </w:pPr>
    </w:p>
    <w:p w:rsidR="00AE5359" w:rsidRDefault="001C539E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Сведения по динамике численности, лимите изъятия и фактической добыче</w:t>
      </w:r>
    </w:p>
    <w:p w:rsidR="00AE5359" w:rsidRDefault="001C539E">
      <w:pPr>
        <w:shd w:val="clear" w:color="auto" w:fill="FFFFFF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копытных животных, медведя, соболя, рыси, барсука в сезоны охоты 2022-2024 гг. </w:t>
      </w:r>
    </w:p>
    <w:p w:rsidR="00AE5359" w:rsidRDefault="001C539E">
      <w:pPr>
        <w:shd w:val="clear" w:color="auto" w:fill="FFFFFF"/>
        <w:jc w:val="center"/>
        <w:rPr>
          <w:highlight w:val="white"/>
        </w:rPr>
      </w:pPr>
      <w:r>
        <w:rPr>
          <w:sz w:val="28"/>
          <w:szCs w:val="28"/>
          <w:highlight w:val="white"/>
        </w:rPr>
        <w:t>на территории Иркутской области и планирование лимита на 2024-2025 гг.</w:t>
      </w:r>
    </w:p>
    <w:p w:rsidR="00AE5359" w:rsidRDefault="00AE5359">
      <w:pPr>
        <w:shd w:val="clear" w:color="auto" w:fill="FFFFFF"/>
        <w:jc w:val="center"/>
        <w:rPr>
          <w:sz w:val="28"/>
          <w:szCs w:val="28"/>
          <w:highlight w:val="white"/>
        </w:rPr>
      </w:pP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314"/>
        <w:gridCol w:w="1314"/>
        <w:gridCol w:w="1314"/>
        <w:gridCol w:w="1295"/>
        <w:gridCol w:w="19"/>
        <w:gridCol w:w="1314"/>
        <w:gridCol w:w="1314"/>
        <w:gridCol w:w="1314"/>
        <w:gridCol w:w="1316"/>
        <w:gridCol w:w="1150"/>
        <w:gridCol w:w="1179"/>
      </w:tblGrid>
      <w:tr w:rsidR="00AE5359">
        <w:trPr>
          <w:cantSplit/>
          <w:trHeight w:val="335"/>
        </w:trPr>
        <w:tc>
          <w:tcPr>
            <w:tcW w:w="2241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ind w:left="-85" w:right="-85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Виды охотничьих ресурсов</w:t>
            </w:r>
          </w:p>
        </w:tc>
        <w:tc>
          <w:tcPr>
            <w:tcW w:w="5237" w:type="dxa"/>
            <w:gridSpan w:val="4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Сезон охоты 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2022-2023 гг.</w:t>
            </w:r>
          </w:p>
        </w:tc>
        <w:tc>
          <w:tcPr>
            <w:tcW w:w="5277" w:type="dxa"/>
            <w:gridSpan w:val="5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Сезон охоты 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2023-2024 гг.</w:t>
            </w:r>
          </w:p>
        </w:tc>
        <w:tc>
          <w:tcPr>
            <w:tcW w:w="2329" w:type="dxa"/>
            <w:gridSpan w:val="2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Сезон охоты 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2024-2025</w:t>
            </w:r>
            <w:r>
              <w:rPr>
                <w:sz w:val="24"/>
                <w:szCs w:val="24"/>
                <w:highlight w:val="white"/>
              </w:rPr>
              <w:t xml:space="preserve"> гг.</w:t>
            </w:r>
          </w:p>
        </w:tc>
      </w:tr>
      <w:tr w:rsidR="00AE5359">
        <w:trPr>
          <w:cantSplit/>
          <w:trHeight w:val="928"/>
        </w:trPr>
        <w:tc>
          <w:tcPr>
            <w:tcW w:w="2241" w:type="dxa"/>
            <w:vMerge/>
            <w:vAlign w:val="center"/>
          </w:tcPr>
          <w:p w:rsidR="00AE5359" w:rsidRDefault="00AE5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 ЗМУ,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тыс. особей</w:t>
            </w:r>
          </w:p>
        </w:tc>
        <w:tc>
          <w:tcPr>
            <w:tcW w:w="1314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Лимит добычи,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1314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Фактическая добыча,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1314" w:type="dxa"/>
            <w:gridSpan w:val="2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Освоение лимита (без охоты КМНС),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%</w:t>
            </w:r>
          </w:p>
        </w:tc>
        <w:tc>
          <w:tcPr>
            <w:tcW w:w="1314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 ЗМУ</w:t>
            </w:r>
            <w:r>
              <w:rPr>
                <w:sz w:val="24"/>
                <w:szCs w:val="24"/>
              </w:rPr>
              <w:t>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тыс. особей</w:t>
            </w:r>
          </w:p>
        </w:tc>
        <w:tc>
          <w:tcPr>
            <w:tcW w:w="1314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Лимит добычи, в т.ч. для КМНС,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1314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Фактическая добыча,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  <w:tc>
          <w:tcPr>
            <w:tcW w:w="1316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Освоение лимита (без охоты КМНС),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%</w:t>
            </w:r>
          </w:p>
        </w:tc>
        <w:tc>
          <w:tcPr>
            <w:tcW w:w="1150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Данные ЗМУ,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тыс. особей</w:t>
            </w:r>
          </w:p>
        </w:tc>
        <w:tc>
          <w:tcPr>
            <w:tcW w:w="1179" w:type="dxa"/>
            <w:vMerge w:val="restart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Лимит добычи, в т.ч. для КМНС,</w:t>
            </w:r>
          </w:p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особей</w:t>
            </w:r>
          </w:p>
        </w:tc>
      </w:tr>
      <w:tr w:rsidR="00AE5359">
        <w:tc>
          <w:tcPr>
            <w:tcW w:w="224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Лось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75,2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2 992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1 132</w:t>
            </w:r>
          </w:p>
        </w:tc>
        <w:tc>
          <w:tcPr>
            <w:tcW w:w="1314" w:type="dxa"/>
            <w:gridSpan w:val="2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37,8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76,9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4 872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1 398</w:t>
            </w:r>
          </w:p>
        </w:tc>
        <w:tc>
          <w:tcPr>
            <w:tcW w:w="1316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50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179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4 483</w:t>
            </w:r>
          </w:p>
        </w:tc>
      </w:tr>
      <w:tr w:rsidR="00AE5359">
        <w:trPr>
          <w:trHeight w:val="56"/>
        </w:trPr>
        <w:tc>
          <w:tcPr>
            <w:tcW w:w="224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Благородный олень (изюбрь)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75,5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3 775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1 151</w:t>
            </w:r>
          </w:p>
        </w:tc>
        <w:tc>
          <w:tcPr>
            <w:tcW w:w="1314" w:type="dxa"/>
            <w:gridSpan w:val="2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30,5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77,3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5 762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1 332</w:t>
            </w:r>
          </w:p>
        </w:tc>
        <w:tc>
          <w:tcPr>
            <w:tcW w:w="1316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0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79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5 428</w:t>
            </w:r>
          </w:p>
        </w:tc>
      </w:tr>
      <w:tr w:rsidR="00AE5359">
        <w:tc>
          <w:tcPr>
            <w:tcW w:w="224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Косуля сибирская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102,2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8 316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5 618</w:t>
            </w:r>
          </w:p>
        </w:tc>
        <w:tc>
          <w:tcPr>
            <w:tcW w:w="1314" w:type="dxa"/>
            <w:gridSpan w:val="2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67,6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104,2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10 404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6 616</w:t>
            </w:r>
          </w:p>
        </w:tc>
        <w:tc>
          <w:tcPr>
            <w:tcW w:w="1316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179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10 159</w:t>
            </w:r>
          </w:p>
        </w:tc>
      </w:tr>
      <w:tr w:rsidR="00AE5359">
        <w:tc>
          <w:tcPr>
            <w:tcW w:w="224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Дикий северный олень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31,2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2 570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484</w:t>
            </w:r>
          </w:p>
        </w:tc>
        <w:tc>
          <w:tcPr>
            <w:tcW w:w="1314" w:type="dxa"/>
            <w:gridSpan w:val="2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18,8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30,9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2 776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316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0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179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1 940</w:t>
            </w:r>
          </w:p>
        </w:tc>
      </w:tr>
      <w:tr w:rsidR="00AE5359">
        <w:tc>
          <w:tcPr>
            <w:tcW w:w="224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Кабарга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143,7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6 867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5 701</w:t>
            </w:r>
          </w:p>
        </w:tc>
        <w:tc>
          <w:tcPr>
            <w:tcW w:w="1314" w:type="dxa"/>
            <w:gridSpan w:val="2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83,0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133,5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ind w:left="-113" w:right="-113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6 111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4 586</w:t>
            </w:r>
          </w:p>
        </w:tc>
        <w:tc>
          <w:tcPr>
            <w:tcW w:w="1316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vAlign w:val="center"/>
          </w:tcPr>
          <w:p w:rsidR="00AE5359" w:rsidRDefault="001C5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79" w:type="dxa"/>
            <w:vAlign w:val="center"/>
          </w:tcPr>
          <w:p w:rsidR="00AE5359" w:rsidRDefault="001C539E">
            <w:pPr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5 950</w:t>
            </w:r>
          </w:p>
        </w:tc>
      </w:tr>
      <w:tr w:rsidR="00AE5359">
        <w:trPr>
          <w:trHeight w:val="275"/>
        </w:trPr>
        <w:tc>
          <w:tcPr>
            <w:tcW w:w="224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Медведь бурый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22,1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3 193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289</w:t>
            </w:r>
          </w:p>
        </w:tc>
        <w:tc>
          <w:tcPr>
            <w:tcW w:w="1314" w:type="dxa"/>
            <w:gridSpan w:val="2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9,1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266,7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4 308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16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179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3 902</w:t>
            </w:r>
          </w:p>
        </w:tc>
      </w:tr>
      <w:tr w:rsidR="00AE5359">
        <w:tc>
          <w:tcPr>
            <w:tcW w:w="224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Соболь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265,2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90 569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51 776</w:t>
            </w:r>
          </w:p>
        </w:tc>
        <w:tc>
          <w:tcPr>
            <w:tcW w:w="1314" w:type="dxa"/>
            <w:gridSpan w:val="2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57,2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91 356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52 395</w:t>
            </w:r>
          </w:p>
        </w:tc>
        <w:tc>
          <w:tcPr>
            <w:tcW w:w="1316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50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271,9</w:t>
            </w:r>
          </w:p>
        </w:tc>
        <w:tc>
          <w:tcPr>
            <w:tcW w:w="1179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92 708</w:t>
            </w:r>
          </w:p>
        </w:tc>
      </w:tr>
      <w:tr w:rsidR="00AE5359">
        <w:tc>
          <w:tcPr>
            <w:tcW w:w="224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Рысь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2,9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188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71</w:t>
            </w:r>
          </w:p>
        </w:tc>
        <w:tc>
          <w:tcPr>
            <w:tcW w:w="1314" w:type="dxa"/>
            <w:gridSpan w:val="2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37,8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13,8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205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316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0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79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</w:tr>
      <w:tr w:rsidR="00AE5359">
        <w:tc>
          <w:tcPr>
            <w:tcW w:w="2241" w:type="dxa"/>
            <w:vAlign w:val="center"/>
          </w:tcPr>
          <w:p w:rsidR="00AE5359" w:rsidRDefault="001C539E">
            <w:pPr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Барсук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13,8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460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111</w:t>
            </w:r>
          </w:p>
        </w:tc>
        <w:tc>
          <w:tcPr>
            <w:tcW w:w="1314" w:type="dxa"/>
            <w:gridSpan w:val="2"/>
            <w:vAlign w:val="center"/>
          </w:tcPr>
          <w:p w:rsidR="00AE5359" w:rsidRDefault="001C539E">
            <w:pPr>
              <w:shd w:val="clear" w:color="FFFFFF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24,1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22,1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479</w:t>
            </w:r>
          </w:p>
        </w:tc>
        <w:tc>
          <w:tcPr>
            <w:tcW w:w="1314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16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0" w:type="dxa"/>
            <w:vAlign w:val="center"/>
          </w:tcPr>
          <w:p w:rsidR="00AE5359" w:rsidRDefault="001C539E">
            <w:pPr>
              <w:shd w:val="clear" w:color="auto" w:fill="FFFFFF"/>
              <w:ind w:left="-113" w:right="-113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179" w:type="dxa"/>
            <w:vAlign w:val="center"/>
          </w:tcPr>
          <w:p w:rsidR="00AE5359" w:rsidRDefault="001C539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476</w:t>
            </w:r>
          </w:p>
        </w:tc>
      </w:tr>
    </w:tbl>
    <w:p w:rsidR="00AE5359" w:rsidRDefault="00AE5359">
      <w:pPr>
        <w:shd w:val="clear" w:color="auto" w:fill="FFFFFF"/>
        <w:jc w:val="both"/>
        <w:rPr>
          <w:sz w:val="24"/>
          <w:szCs w:val="24"/>
          <w:highlight w:val="white"/>
        </w:rPr>
      </w:pPr>
    </w:p>
    <w:sectPr w:rsidR="00AE5359">
      <w:headerReference w:type="even" r:id="rId8"/>
      <w:headerReference w:type="default" r:id="rId9"/>
      <w:headerReference w:type="first" r:id="rId10"/>
      <w:pgSz w:w="16838" w:h="11906" w:orient="landscape"/>
      <w:pgMar w:top="851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59" w:rsidRDefault="001C539E">
      <w:r>
        <w:separator/>
      </w:r>
    </w:p>
  </w:endnote>
  <w:endnote w:type="continuationSeparator" w:id="0">
    <w:p w:rsidR="00AE5359" w:rsidRDefault="001C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59" w:rsidRDefault="001C539E">
      <w:r>
        <w:separator/>
      </w:r>
    </w:p>
  </w:footnote>
  <w:footnote w:type="continuationSeparator" w:id="0">
    <w:p w:rsidR="00AE5359" w:rsidRDefault="001C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59" w:rsidRDefault="001C539E">
    <w:pPr>
      <w:pStyle w:val="ac"/>
      <w:jc w:val="center"/>
      <w:rPr>
        <w:sz w:val="24"/>
        <w:szCs w:val="24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 \* MERGEFORMAT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10</w:t>
    </w:r>
    <w:r>
      <w:rPr>
        <w:sz w:val="26"/>
        <w:szCs w:val="26"/>
      </w:rPr>
      <w:fldChar w:fldCharType="end"/>
    </w:r>
  </w:p>
  <w:p w:rsidR="00AE5359" w:rsidRDefault="00AE535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59" w:rsidRDefault="001C539E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E5359" w:rsidRDefault="00AE5359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59" w:rsidRDefault="00AE5359">
    <w:pPr>
      <w:pStyle w:val="ac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59" w:rsidRDefault="00AE535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1B7"/>
    <w:multiLevelType w:val="hybridMultilevel"/>
    <w:tmpl w:val="A30C8242"/>
    <w:lvl w:ilvl="0" w:tplc="8E9C642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4272746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320409A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6722E2D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C85AB6E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C26E900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D0F0435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5682412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2612E84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EF521D5"/>
    <w:multiLevelType w:val="hybridMultilevel"/>
    <w:tmpl w:val="3F10B8DC"/>
    <w:lvl w:ilvl="0" w:tplc="6F6E2E1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603C61F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5424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4EF4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1C9C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C6EF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288D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AC28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645B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2663886"/>
    <w:multiLevelType w:val="hybridMultilevel"/>
    <w:tmpl w:val="726E800C"/>
    <w:lvl w:ilvl="0" w:tplc="AEF228C4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6680BD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7BA80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26B1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CACB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4A6C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602E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D6A6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244B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063EC0"/>
    <w:multiLevelType w:val="hybridMultilevel"/>
    <w:tmpl w:val="30DE214E"/>
    <w:lvl w:ilvl="0" w:tplc="313C264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5EA114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18BAD95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F16B5A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8B6986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0E96F74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6CC36E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63A49C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7CAEB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80949FC"/>
    <w:multiLevelType w:val="hybridMultilevel"/>
    <w:tmpl w:val="00B8E09C"/>
    <w:lvl w:ilvl="0" w:tplc="6FC0736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0A86FF2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98E40AB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763AFDB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53C364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BAC476A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6AE2CE3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3776F31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C67AEB2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D686711"/>
    <w:multiLevelType w:val="hybridMultilevel"/>
    <w:tmpl w:val="67E65D2A"/>
    <w:lvl w:ilvl="0" w:tplc="7E74CC8E">
      <w:start w:val="1"/>
      <w:numFmt w:val="bullet"/>
      <w:lvlText w:val="–"/>
      <w:lvlJc w:val="left"/>
      <w:pPr>
        <w:ind w:left="1189" w:hanging="360"/>
      </w:pPr>
      <w:rPr>
        <w:rFonts w:ascii="Arial" w:eastAsia="Arial" w:hAnsi="Arial" w:cs="Arial"/>
      </w:rPr>
    </w:lvl>
    <w:lvl w:ilvl="1" w:tplc="EBBAF81C">
      <w:start w:val="1"/>
      <w:numFmt w:val="bullet"/>
      <w:lvlText w:val="o"/>
      <w:lvlJc w:val="left"/>
      <w:pPr>
        <w:ind w:left="1909" w:hanging="360"/>
      </w:pPr>
      <w:rPr>
        <w:rFonts w:ascii="Courier New" w:eastAsia="Courier New" w:hAnsi="Courier New" w:cs="Courier New"/>
      </w:rPr>
    </w:lvl>
    <w:lvl w:ilvl="2" w:tplc="FB56B78A">
      <w:start w:val="1"/>
      <w:numFmt w:val="bullet"/>
      <w:lvlText w:val="§"/>
      <w:lvlJc w:val="left"/>
      <w:pPr>
        <w:ind w:left="2629" w:hanging="360"/>
      </w:pPr>
      <w:rPr>
        <w:rFonts w:ascii="Wingdings" w:eastAsia="Wingdings" w:hAnsi="Wingdings" w:cs="Wingdings"/>
      </w:rPr>
    </w:lvl>
    <w:lvl w:ilvl="3" w:tplc="D108D954">
      <w:start w:val="1"/>
      <w:numFmt w:val="bullet"/>
      <w:lvlText w:val="·"/>
      <w:lvlJc w:val="left"/>
      <w:pPr>
        <w:ind w:left="3349" w:hanging="360"/>
      </w:pPr>
      <w:rPr>
        <w:rFonts w:ascii="Symbol" w:eastAsia="Symbol" w:hAnsi="Symbol" w:cs="Symbol"/>
      </w:rPr>
    </w:lvl>
    <w:lvl w:ilvl="4" w:tplc="F300E8A2">
      <w:start w:val="1"/>
      <w:numFmt w:val="bullet"/>
      <w:lvlText w:val="o"/>
      <w:lvlJc w:val="left"/>
      <w:pPr>
        <w:ind w:left="4069" w:hanging="360"/>
      </w:pPr>
      <w:rPr>
        <w:rFonts w:ascii="Courier New" w:eastAsia="Courier New" w:hAnsi="Courier New" w:cs="Courier New"/>
      </w:rPr>
    </w:lvl>
    <w:lvl w:ilvl="5" w:tplc="38186DA8">
      <w:start w:val="1"/>
      <w:numFmt w:val="bullet"/>
      <w:lvlText w:val="§"/>
      <w:lvlJc w:val="left"/>
      <w:pPr>
        <w:ind w:left="4789" w:hanging="360"/>
      </w:pPr>
      <w:rPr>
        <w:rFonts w:ascii="Wingdings" w:eastAsia="Wingdings" w:hAnsi="Wingdings" w:cs="Wingdings"/>
      </w:rPr>
    </w:lvl>
    <w:lvl w:ilvl="6" w:tplc="5FE8DEB6">
      <w:start w:val="1"/>
      <w:numFmt w:val="bullet"/>
      <w:lvlText w:val="·"/>
      <w:lvlJc w:val="left"/>
      <w:pPr>
        <w:ind w:left="5509" w:hanging="360"/>
      </w:pPr>
      <w:rPr>
        <w:rFonts w:ascii="Symbol" w:eastAsia="Symbol" w:hAnsi="Symbol" w:cs="Symbol"/>
      </w:rPr>
    </w:lvl>
    <w:lvl w:ilvl="7" w:tplc="B11291AC">
      <w:start w:val="1"/>
      <w:numFmt w:val="bullet"/>
      <w:lvlText w:val="o"/>
      <w:lvlJc w:val="left"/>
      <w:pPr>
        <w:ind w:left="6229" w:hanging="360"/>
      </w:pPr>
      <w:rPr>
        <w:rFonts w:ascii="Courier New" w:eastAsia="Courier New" w:hAnsi="Courier New" w:cs="Courier New"/>
      </w:rPr>
    </w:lvl>
    <w:lvl w:ilvl="8" w:tplc="D71605C4">
      <w:start w:val="1"/>
      <w:numFmt w:val="bullet"/>
      <w:lvlText w:val="§"/>
      <w:lvlJc w:val="left"/>
      <w:pPr>
        <w:ind w:left="6949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4D7B3458"/>
    <w:multiLevelType w:val="hybridMultilevel"/>
    <w:tmpl w:val="7E7247D8"/>
    <w:lvl w:ilvl="0" w:tplc="8C9CAE78">
      <w:start w:val="1"/>
      <w:numFmt w:val="bullet"/>
      <w:lvlText w:val="–"/>
      <w:lvlJc w:val="left"/>
      <w:pPr>
        <w:ind w:left="1609" w:hanging="360"/>
      </w:pPr>
      <w:rPr>
        <w:rFonts w:ascii="Arial" w:eastAsia="Arial" w:hAnsi="Arial" w:cs="Arial"/>
      </w:rPr>
    </w:lvl>
    <w:lvl w:ilvl="1" w:tplc="CA08437C">
      <w:start w:val="1"/>
      <w:numFmt w:val="bullet"/>
      <w:lvlText w:val="o"/>
      <w:lvlJc w:val="left"/>
      <w:pPr>
        <w:ind w:left="2329" w:hanging="360"/>
      </w:pPr>
      <w:rPr>
        <w:rFonts w:ascii="Courier New" w:eastAsia="Courier New" w:hAnsi="Courier New" w:cs="Courier New"/>
      </w:rPr>
    </w:lvl>
    <w:lvl w:ilvl="2" w:tplc="69148F90">
      <w:start w:val="1"/>
      <w:numFmt w:val="bullet"/>
      <w:lvlText w:val="§"/>
      <w:lvlJc w:val="left"/>
      <w:pPr>
        <w:ind w:left="3049" w:hanging="360"/>
      </w:pPr>
      <w:rPr>
        <w:rFonts w:ascii="Wingdings" w:eastAsia="Wingdings" w:hAnsi="Wingdings" w:cs="Wingdings"/>
      </w:rPr>
    </w:lvl>
    <w:lvl w:ilvl="3" w:tplc="08922EB4">
      <w:start w:val="1"/>
      <w:numFmt w:val="bullet"/>
      <w:lvlText w:val="·"/>
      <w:lvlJc w:val="left"/>
      <w:pPr>
        <w:ind w:left="3769" w:hanging="360"/>
      </w:pPr>
      <w:rPr>
        <w:rFonts w:ascii="Symbol" w:eastAsia="Symbol" w:hAnsi="Symbol" w:cs="Symbol"/>
      </w:rPr>
    </w:lvl>
    <w:lvl w:ilvl="4" w:tplc="3956FDB0">
      <w:start w:val="1"/>
      <w:numFmt w:val="bullet"/>
      <w:lvlText w:val="o"/>
      <w:lvlJc w:val="left"/>
      <w:pPr>
        <w:ind w:left="4489" w:hanging="360"/>
      </w:pPr>
      <w:rPr>
        <w:rFonts w:ascii="Courier New" w:eastAsia="Courier New" w:hAnsi="Courier New" w:cs="Courier New"/>
      </w:rPr>
    </w:lvl>
    <w:lvl w:ilvl="5" w:tplc="F54061CC">
      <w:start w:val="1"/>
      <w:numFmt w:val="bullet"/>
      <w:lvlText w:val="§"/>
      <w:lvlJc w:val="left"/>
      <w:pPr>
        <w:ind w:left="5209" w:hanging="360"/>
      </w:pPr>
      <w:rPr>
        <w:rFonts w:ascii="Wingdings" w:eastAsia="Wingdings" w:hAnsi="Wingdings" w:cs="Wingdings"/>
      </w:rPr>
    </w:lvl>
    <w:lvl w:ilvl="6" w:tplc="22DC9A2A">
      <w:start w:val="1"/>
      <w:numFmt w:val="bullet"/>
      <w:lvlText w:val="·"/>
      <w:lvlJc w:val="left"/>
      <w:pPr>
        <w:ind w:left="5929" w:hanging="360"/>
      </w:pPr>
      <w:rPr>
        <w:rFonts w:ascii="Symbol" w:eastAsia="Symbol" w:hAnsi="Symbol" w:cs="Symbol"/>
      </w:rPr>
    </w:lvl>
    <w:lvl w:ilvl="7" w:tplc="EA74FDC8">
      <w:start w:val="1"/>
      <w:numFmt w:val="bullet"/>
      <w:lvlText w:val="o"/>
      <w:lvlJc w:val="left"/>
      <w:pPr>
        <w:ind w:left="6649" w:hanging="360"/>
      </w:pPr>
      <w:rPr>
        <w:rFonts w:ascii="Courier New" w:eastAsia="Courier New" w:hAnsi="Courier New" w:cs="Courier New"/>
      </w:rPr>
    </w:lvl>
    <w:lvl w:ilvl="8" w:tplc="8EBE8A8A">
      <w:start w:val="1"/>
      <w:numFmt w:val="bullet"/>
      <w:lvlText w:val="§"/>
      <w:lvlJc w:val="left"/>
      <w:pPr>
        <w:ind w:left="73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5D8A3229"/>
    <w:multiLevelType w:val="hybridMultilevel"/>
    <w:tmpl w:val="23E2F698"/>
    <w:lvl w:ilvl="0" w:tplc="D1E4AF2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A4A174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92F4446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C08680D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E9FE770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1F38264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25A826B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E7449A2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E1F4FD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79981C0F"/>
    <w:multiLevelType w:val="hybridMultilevel"/>
    <w:tmpl w:val="60C6E4A2"/>
    <w:lvl w:ilvl="0" w:tplc="9CA4CA3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FDE03D4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00147C6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D4635C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565F5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B5D2E9A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2E4186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95A0C65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630C4F7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59"/>
    <w:rsid w:val="001C539E"/>
    <w:rsid w:val="00A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A0D56-F275-4378-AA6F-51D57274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table of figures"/>
    <w:basedOn w:val="a"/>
    <w:next w:val="a"/>
    <w:uiPriority w:val="99"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5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6">
    <w:name w:val="Title"/>
    <w:link w:val="a7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uiPriority w:val="59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character" w:styleId="afa">
    <w:name w:val="page number"/>
    <w:basedOn w:val="a0"/>
  </w:style>
  <w:style w:type="character" w:customStyle="1" w:styleId="af">
    <w:name w:val="Нижний колонтитул Знак"/>
    <w:link w:val="ae"/>
    <w:rPr>
      <w:sz w:val="24"/>
      <w:szCs w:val="24"/>
    </w:rPr>
  </w:style>
  <w:style w:type="character" w:customStyle="1" w:styleId="ad">
    <w:name w:val="Верхний колонтитул Знак"/>
    <w:link w:val="ac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 w:val="22"/>
      <w:szCs w:val="22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paragraph" w:customStyle="1" w:styleId="13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241" w:lineRule="exact"/>
    </w:pPr>
    <w:rPr>
      <w:color w:val="000000"/>
      <w:sz w:val="26"/>
      <w:szCs w:val="26"/>
      <w:lang w:bidi="ru-RU"/>
    </w:rPr>
  </w:style>
  <w:style w:type="paragraph" w:customStyle="1" w:styleId="14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7711</Words>
  <Characters>43958</Characters>
  <Application>Microsoft Office Word</Application>
  <DocSecurity>4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Виктория Вахниченко</cp:lastModifiedBy>
  <cp:revision>2</cp:revision>
  <dcterms:created xsi:type="dcterms:W3CDTF">2024-04-12T06:49:00Z</dcterms:created>
  <dcterms:modified xsi:type="dcterms:W3CDTF">2024-04-12T06:49:00Z</dcterms:modified>
</cp:coreProperties>
</file>